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B3" w:rsidRDefault="003E6FB3" w:rsidP="00EC2A27">
      <w:pPr>
        <w:pStyle w:val="Normala"/>
        <w:ind w:left="2835"/>
      </w:pPr>
      <w:r>
        <w:rPr>
          <w:noProof/>
        </w:rPr>
        <w:drawing>
          <wp:inline distT="0" distB="0" distL="0" distR="0" wp14:anchorId="01954C7C" wp14:editId="57A3DE27">
            <wp:extent cx="1524000" cy="1938867"/>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vertical_color.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938867"/>
                    </a:xfrm>
                    <a:prstGeom prst="rect">
                      <a:avLst/>
                    </a:prstGeom>
                  </pic:spPr>
                </pic:pic>
              </a:graphicData>
            </a:graphic>
          </wp:inline>
        </w:drawing>
      </w:r>
    </w:p>
    <w:p w:rsidR="003E6FB3" w:rsidRDefault="003E6FB3" w:rsidP="003E6FB3">
      <w:pPr>
        <w:rPr>
          <w:rFonts w:ascii="Soberana Sans Light" w:hAnsi="Soberana Sans Light"/>
          <w:b/>
          <w:szCs w:val="24"/>
        </w:rPr>
      </w:pPr>
    </w:p>
    <w:p w:rsidR="003E6FB3" w:rsidRDefault="003E6FB3" w:rsidP="003E6FB3">
      <w:pPr>
        <w:rPr>
          <w:rFonts w:ascii="Soberana Sans Light" w:hAnsi="Soberana Sans Light"/>
          <w:b/>
          <w:szCs w:val="24"/>
        </w:rPr>
      </w:pPr>
    </w:p>
    <w:p w:rsidR="003E6FB3" w:rsidRDefault="003E6FB3" w:rsidP="003E6FB3">
      <w:pPr>
        <w:rPr>
          <w:rFonts w:ascii="Soberana Sans Light" w:hAnsi="Soberana Sans Light"/>
          <w:b/>
          <w:szCs w:val="24"/>
        </w:rPr>
      </w:pPr>
    </w:p>
    <w:p w:rsidR="003E6FB3" w:rsidRDefault="003E6FB3" w:rsidP="003E6FB3">
      <w:pPr>
        <w:rPr>
          <w:rFonts w:ascii="Soberana Sans Light" w:hAnsi="Soberana Sans Light"/>
          <w:b/>
          <w:szCs w:val="24"/>
        </w:rPr>
      </w:pPr>
    </w:p>
    <w:p w:rsidR="003E6FB3" w:rsidRDefault="003E6FB3" w:rsidP="003E6FB3">
      <w:pPr>
        <w:rPr>
          <w:rFonts w:ascii="Soberana Sans Light" w:hAnsi="Soberana Sans Light"/>
          <w:b/>
          <w:szCs w:val="24"/>
        </w:rPr>
      </w:pPr>
    </w:p>
    <w:p w:rsidR="003E6FB3" w:rsidRDefault="003E6FB3" w:rsidP="003E6FB3">
      <w:pPr>
        <w:rPr>
          <w:rFonts w:ascii="Soberana Sans Light" w:hAnsi="Soberana Sans Light"/>
          <w:b/>
          <w:szCs w:val="24"/>
        </w:rPr>
      </w:pPr>
    </w:p>
    <w:p w:rsidR="003E6FB3" w:rsidRDefault="003E6FB3" w:rsidP="003E6FB3">
      <w:pPr>
        <w:shd w:val="clear" w:color="auto" w:fill="C00000"/>
        <w:jc w:val="center"/>
        <w:rPr>
          <w:rFonts w:ascii="Trajan Pro" w:hAnsi="Trajan Pro"/>
          <w:sz w:val="36"/>
          <w:szCs w:val="24"/>
        </w:rPr>
      </w:pPr>
      <w:r w:rsidRPr="003E6FB3">
        <w:rPr>
          <w:rFonts w:ascii="Trajan Pro" w:hAnsi="Trajan Pro"/>
          <w:sz w:val="36"/>
          <w:szCs w:val="24"/>
        </w:rPr>
        <w:t>Índice de calidad en la información reportada sobre recursos federales transferidos</w:t>
      </w:r>
    </w:p>
    <w:p w:rsidR="003E6FB3" w:rsidRDefault="003E6FB3" w:rsidP="003E6FB3">
      <w:pPr>
        <w:jc w:val="center"/>
        <w:rPr>
          <w:rFonts w:ascii="Trajan Pro" w:hAnsi="Trajan Pro"/>
          <w:sz w:val="36"/>
          <w:szCs w:val="24"/>
        </w:rPr>
      </w:pPr>
    </w:p>
    <w:p w:rsidR="003E6FB3" w:rsidRDefault="003E6FB3" w:rsidP="003E6FB3">
      <w:pPr>
        <w:jc w:val="center"/>
        <w:rPr>
          <w:rFonts w:ascii="Trajan Pro" w:hAnsi="Trajan Pro"/>
          <w:sz w:val="36"/>
          <w:szCs w:val="24"/>
        </w:rPr>
      </w:pPr>
    </w:p>
    <w:p w:rsidR="003E6FB3" w:rsidRDefault="003E6FB3" w:rsidP="003E6FB3">
      <w:pPr>
        <w:jc w:val="center"/>
        <w:rPr>
          <w:rFonts w:ascii="Trajan Pro" w:hAnsi="Trajan Pro"/>
          <w:sz w:val="36"/>
          <w:szCs w:val="24"/>
        </w:rPr>
      </w:pPr>
    </w:p>
    <w:p w:rsidR="003E6FB3" w:rsidRDefault="003E6FB3" w:rsidP="003E6FB3">
      <w:pPr>
        <w:jc w:val="center"/>
        <w:rPr>
          <w:rFonts w:ascii="Trajan Pro" w:hAnsi="Trajan Pro"/>
          <w:sz w:val="36"/>
          <w:szCs w:val="24"/>
        </w:rPr>
      </w:pPr>
    </w:p>
    <w:p w:rsidR="003E6FB3" w:rsidRPr="004F2A29" w:rsidRDefault="003E6FB3" w:rsidP="003E6FB3">
      <w:pPr>
        <w:jc w:val="center"/>
        <w:rPr>
          <w:rFonts w:ascii="Soberana Sans Light" w:hAnsi="Soberana Sans Light"/>
          <w:b/>
          <w:sz w:val="32"/>
          <w:szCs w:val="24"/>
        </w:rPr>
      </w:pPr>
      <w:r w:rsidRPr="004F2A29">
        <w:rPr>
          <w:rFonts w:ascii="Soberana Sans Light" w:hAnsi="Soberana Sans Light"/>
          <w:b/>
          <w:sz w:val="32"/>
          <w:szCs w:val="24"/>
        </w:rPr>
        <w:t>Unidad de Evaluación del Desempeño</w:t>
      </w:r>
    </w:p>
    <w:p w:rsidR="003E6FB3" w:rsidRDefault="003E6FB3" w:rsidP="003E6FB3">
      <w:pPr>
        <w:jc w:val="center"/>
        <w:rPr>
          <w:rFonts w:ascii="Soberana Sans Light" w:hAnsi="Soberana Sans Light"/>
          <w:szCs w:val="24"/>
        </w:rPr>
      </w:pPr>
      <w:r w:rsidRPr="004F2A29">
        <w:rPr>
          <w:rFonts w:ascii="Soberana Sans Light" w:hAnsi="Soberana Sans Light"/>
          <w:szCs w:val="24"/>
        </w:rPr>
        <w:t>201</w:t>
      </w:r>
      <w:r w:rsidR="00E92856">
        <w:rPr>
          <w:rFonts w:ascii="Soberana Sans Light" w:hAnsi="Soberana Sans Light"/>
          <w:szCs w:val="24"/>
        </w:rPr>
        <w:t>5</w:t>
      </w:r>
    </w:p>
    <w:p w:rsidR="003070AA" w:rsidRDefault="003070AA" w:rsidP="00852D19"/>
    <w:p w:rsidR="003070AA" w:rsidRDefault="003070AA" w:rsidP="00852D19"/>
    <w:sdt>
      <w:sdtPr>
        <w:rPr>
          <w:b/>
          <w:bCs/>
          <w:lang w:val="es-ES"/>
        </w:rPr>
        <w:id w:val="-342089397"/>
        <w:docPartObj>
          <w:docPartGallery w:val="Table of Contents"/>
          <w:docPartUnique/>
        </w:docPartObj>
      </w:sdtPr>
      <w:sdtEndPr>
        <w:rPr>
          <w:b w:val="0"/>
          <w:bCs w:val="0"/>
        </w:rPr>
      </w:sdtEndPr>
      <w:sdtContent>
        <w:p w:rsidR="003070AA" w:rsidRDefault="003070AA" w:rsidP="00852D19">
          <w:r>
            <w:rPr>
              <w:lang w:val="es-ES"/>
            </w:rPr>
            <w:t>Contenido</w:t>
          </w:r>
        </w:p>
        <w:p w:rsidR="00A15A0C" w:rsidRDefault="003070AA">
          <w:pPr>
            <w:pStyle w:val="TDC1"/>
            <w:tabs>
              <w:tab w:val="left" w:pos="440"/>
              <w:tab w:val="right" w:leader="dot" w:pos="8828"/>
            </w:tabs>
            <w:rPr>
              <w:rFonts w:asciiTheme="minorHAnsi" w:hAnsiTheme="minorHAnsi"/>
              <w:noProof/>
              <w:sz w:val="22"/>
            </w:rPr>
          </w:pPr>
          <w:r>
            <w:fldChar w:fldCharType="begin"/>
          </w:r>
          <w:r>
            <w:instrText xml:space="preserve"> TOC \o "1-3" \h \z \u </w:instrText>
          </w:r>
          <w:r>
            <w:fldChar w:fldCharType="separate"/>
          </w:r>
          <w:hyperlink w:anchor="_Toc500163662" w:history="1">
            <w:r w:rsidR="00A15A0C" w:rsidRPr="00FA0596">
              <w:rPr>
                <w:rStyle w:val="Hipervnculo"/>
                <w:noProof/>
              </w:rPr>
              <w:t>I.</w:t>
            </w:r>
            <w:r w:rsidR="00A15A0C">
              <w:rPr>
                <w:rFonts w:asciiTheme="minorHAnsi" w:hAnsiTheme="minorHAnsi"/>
                <w:noProof/>
                <w:sz w:val="22"/>
              </w:rPr>
              <w:tab/>
            </w:r>
            <w:r w:rsidR="00A15A0C" w:rsidRPr="00FA0596">
              <w:rPr>
                <w:rStyle w:val="Hipervnculo"/>
                <w:noProof/>
              </w:rPr>
              <w:t>Antecedentes</w:t>
            </w:r>
            <w:r w:rsidR="00A15A0C">
              <w:rPr>
                <w:noProof/>
                <w:webHidden/>
              </w:rPr>
              <w:tab/>
            </w:r>
            <w:r w:rsidR="00A15A0C">
              <w:rPr>
                <w:noProof/>
                <w:webHidden/>
              </w:rPr>
              <w:fldChar w:fldCharType="begin"/>
            </w:r>
            <w:r w:rsidR="00A15A0C">
              <w:rPr>
                <w:noProof/>
                <w:webHidden/>
              </w:rPr>
              <w:instrText xml:space="preserve"> PAGEREF _Toc500163662 \h </w:instrText>
            </w:r>
            <w:r w:rsidR="00A15A0C">
              <w:rPr>
                <w:noProof/>
                <w:webHidden/>
              </w:rPr>
            </w:r>
            <w:r w:rsidR="00A15A0C">
              <w:rPr>
                <w:noProof/>
                <w:webHidden/>
              </w:rPr>
              <w:fldChar w:fldCharType="separate"/>
            </w:r>
            <w:r w:rsidR="00A15A0C">
              <w:rPr>
                <w:noProof/>
                <w:webHidden/>
              </w:rPr>
              <w:t>2</w:t>
            </w:r>
            <w:r w:rsidR="00A15A0C">
              <w:rPr>
                <w:noProof/>
                <w:webHidden/>
              </w:rPr>
              <w:fldChar w:fldCharType="end"/>
            </w:r>
          </w:hyperlink>
        </w:p>
        <w:p w:rsidR="00A15A0C" w:rsidRDefault="00A15A0C">
          <w:pPr>
            <w:pStyle w:val="TDC1"/>
            <w:tabs>
              <w:tab w:val="left" w:pos="440"/>
              <w:tab w:val="right" w:leader="dot" w:pos="8828"/>
            </w:tabs>
            <w:rPr>
              <w:rFonts w:asciiTheme="minorHAnsi" w:hAnsiTheme="minorHAnsi"/>
              <w:noProof/>
              <w:sz w:val="22"/>
            </w:rPr>
          </w:pPr>
          <w:hyperlink w:anchor="_Toc500163663" w:history="1">
            <w:r w:rsidRPr="00FA0596">
              <w:rPr>
                <w:rStyle w:val="Hipervnculo"/>
                <w:noProof/>
              </w:rPr>
              <w:t>II.</w:t>
            </w:r>
            <w:r>
              <w:rPr>
                <w:rFonts w:asciiTheme="minorHAnsi" w:hAnsiTheme="minorHAnsi"/>
                <w:noProof/>
                <w:sz w:val="22"/>
              </w:rPr>
              <w:tab/>
            </w:r>
            <w:r w:rsidRPr="00FA0596">
              <w:rPr>
                <w:rStyle w:val="Hipervnculo"/>
                <w:noProof/>
              </w:rPr>
              <w:t>Metodología</w:t>
            </w:r>
            <w:r>
              <w:rPr>
                <w:noProof/>
                <w:webHidden/>
              </w:rPr>
              <w:tab/>
            </w:r>
            <w:r>
              <w:rPr>
                <w:noProof/>
                <w:webHidden/>
              </w:rPr>
              <w:fldChar w:fldCharType="begin"/>
            </w:r>
            <w:r>
              <w:rPr>
                <w:noProof/>
                <w:webHidden/>
              </w:rPr>
              <w:instrText xml:space="preserve"> PAGEREF _Toc500163663 \h </w:instrText>
            </w:r>
            <w:r>
              <w:rPr>
                <w:noProof/>
                <w:webHidden/>
              </w:rPr>
            </w:r>
            <w:r>
              <w:rPr>
                <w:noProof/>
                <w:webHidden/>
              </w:rPr>
              <w:fldChar w:fldCharType="separate"/>
            </w:r>
            <w:r>
              <w:rPr>
                <w:noProof/>
                <w:webHidden/>
              </w:rPr>
              <w:t>4</w:t>
            </w:r>
            <w:r>
              <w:rPr>
                <w:noProof/>
                <w:webHidden/>
              </w:rPr>
              <w:fldChar w:fldCharType="end"/>
            </w:r>
          </w:hyperlink>
        </w:p>
        <w:p w:rsidR="00A15A0C" w:rsidRDefault="00A15A0C">
          <w:pPr>
            <w:pStyle w:val="TDC2"/>
            <w:tabs>
              <w:tab w:val="left" w:pos="880"/>
              <w:tab w:val="right" w:leader="dot" w:pos="8828"/>
            </w:tabs>
            <w:rPr>
              <w:rFonts w:asciiTheme="minorHAnsi" w:hAnsiTheme="minorHAnsi"/>
              <w:noProof/>
              <w:sz w:val="22"/>
            </w:rPr>
          </w:pPr>
          <w:hyperlink w:anchor="_Toc500163664" w:history="1">
            <w:r w:rsidRPr="00FA0596">
              <w:rPr>
                <w:rStyle w:val="Hipervnculo"/>
                <w:noProof/>
              </w:rPr>
              <w:t>II.1</w:t>
            </w:r>
            <w:r>
              <w:rPr>
                <w:rFonts w:asciiTheme="minorHAnsi" w:hAnsiTheme="minorHAnsi"/>
                <w:noProof/>
                <w:sz w:val="22"/>
              </w:rPr>
              <w:tab/>
            </w:r>
            <w:r w:rsidRPr="00FA0596">
              <w:rPr>
                <w:rStyle w:val="Hipervnculo"/>
                <w:noProof/>
              </w:rPr>
              <w:t>Valoración nacional</w:t>
            </w:r>
            <w:r>
              <w:rPr>
                <w:noProof/>
                <w:webHidden/>
              </w:rPr>
              <w:tab/>
            </w:r>
            <w:r>
              <w:rPr>
                <w:noProof/>
                <w:webHidden/>
              </w:rPr>
              <w:fldChar w:fldCharType="begin"/>
            </w:r>
            <w:r>
              <w:rPr>
                <w:noProof/>
                <w:webHidden/>
              </w:rPr>
              <w:instrText xml:space="preserve"> PAGEREF _Toc500163664 \h </w:instrText>
            </w:r>
            <w:r>
              <w:rPr>
                <w:noProof/>
                <w:webHidden/>
              </w:rPr>
            </w:r>
            <w:r>
              <w:rPr>
                <w:noProof/>
                <w:webHidden/>
              </w:rPr>
              <w:fldChar w:fldCharType="separate"/>
            </w:r>
            <w:r>
              <w:rPr>
                <w:noProof/>
                <w:webHidden/>
              </w:rPr>
              <w:t>4</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65" w:history="1">
            <w:r w:rsidRPr="00FA0596">
              <w:rPr>
                <w:rStyle w:val="Hipervnculo"/>
                <w:noProof/>
              </w:rPr>
              <w:t>II.1.A</w:t>
            </w:r>
            <w:r>
              <w:rPr>
                <w:rFonts w:asciiTheme="minorHAnsi" w:hAnsiTheme="minorHAnsi"/>
                <w:noProof/>
                <w:sz w:val="22"/>
              </w:rPr>
              <w:tab/>
            </w:r>
            <w:r w:rsidRPr="00FA0596">
              <w:rPr>
                <w:rStyle w:val="Hipervnculo"/>
                <w:noProof/>
              </w:rPr>
              <w:t>Método de cálculo nacional</w:t>
            </w:r>
            <w:r>
              <w:rPr>
                <w:noProof/>
                <w:webHidden/>
              </w:rPr>
              <w:tab/>
            </w:r>
            <w:r>
              <w:rPr>
                <w:noProof/>
                <w:webHidden/>
              </w:rPr>
              <w:fldChar w:fldCharType="begin"/>
            </w:r>
            <w:r>
              <w:rPr>
                <w:noProof/>
                <w:webHidden/>
              </w:rPr>
              <w:instrText xml:space="preserve"> PAGEREF _Toc500163665 \h </w:instrText>
            </w:r>
            <w:r>
              <w:rPr>
                <w:noProof/>
                <w:webHidden/>
              </w:rPr>
            </w:r>
            <w:r>
              <w:rPr>
                <w:noProof/>
                <w:webHidden/>
              </w:rPr>
              <w:fldChar w:fldCharType="separate"/>
            </w:r>
            <w:r>
              <w:rPr>
                <w:noProof/>
                <w:webHidden/>
              </w:rPr>
              <w:t>4</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66" w:history="1">
            <w:r w:rsidRPr="00FA0596">
              <w:rPr>
                <w:rStyle w:val="Hipervnculo"/>
                <w:noProof/>
              </w:rPr>
              <w:t>II.1.B</w:t>
            </w:r>
            <w:r>
              <w:rPr>
                <w:rFonts w:asciiTheme="minorHAnsi" w:hAnsiTheme="minorHAnsi"/>
                <w:noProof/>
                <w:sz w:val="22"/>
              </w:rPr>
              <w:tab/>
            </w:r>
            <w:r w:rsidRPr="00FA0596">
              <w:rPr>
                <w:rStyle w:val="Hipervnculo"/>
                <w:noProof/>
              </w:rPr>
              <w:t>Rango y sentido del indicador</w:t>
            </w:r>
            <w:r>
              <w:rPr>
                <w:noProof/>
                <w:webHidden/>
              </w:rPr>
              <w:tab/>
            </w:r>
            <w:r>
              <w:rPr>
                <w:noProof/>
                <w:webHidden/>
              </w:rPr>
              <w:fldChar w:fldCharType="begin"/>
            </w:r>
            <w:r>
              <w:rPr>
                <w:noProof/>
                <w:webHidden/>
              </w:rPr>
              <w:instrText xml:space="preserve"> PAGEREF _Toc500163666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rsidR="00A15A0C" w:rsidRDefault="00A15A0C">
          <w:pPr>
            <w:pStyle w:val="TDC2"/>
            <w:tabs>
              <w:tab w:val="left" w:pos="880"/>
              <w:tab w:val="right" w:leader="dot" w:pos="8828"/>
            </w:tabs>
            <w:rPr>
              <w:rFonts w:asciiTheme="minorHAnsi" w:hAnsiTheme="minorHAnsi"/>
              <w:noProof/>
              <w:sz w:val="22"/>
            </w:rPr>
          </w:pPr>
          <w:hyperlink w:anchor="_Toc500163667" w:history="1">
            <w:r w:rsidRPr="00FA0596">
              <w:rPr>
                <w:rStyle w:val="Hipervnculo"/>
                <w:noProof/>
              </w:rPr>
              <w:t>II.2</w:t>
            </w:r>
            <w:r>
              <w:rPr>
                <w:rFonts w:asciiTheme="minorHAnsi" w:hAnsiTheme="minorHAnsi"/>
                <w:noProof/>
                <w:sz w:val="22"/>
              </w:rPr>
              <w:tab/>
            </w:r>
            <w:r w:rsidRPr="00FA0596">
              <w:rPr>
                <w:rStyle w:val="Hipervnculo"/>
                <w:noProof/>
              </w:rPr>
              <w:t>Valoración por entidad federativa</w:t>
            </w:r>
            <w:r>
              <w:rPr>
                <w:noProof/>
                <w:webHidden/>
              </w:rPr>
              <w:tab/>
            </w:r>
            <w:r>
              <w:rPr>
                <w:noProof/>
                <w:webHidden/>
              </w:rPr>
              <w:fldChar w:fldCharType="begin"/>
            </w:r>
            <w:r>
              <w:rPr>
                <w:noProof/>
                <w:webHidden/>
              </w:rPr>
              <w:instrText xml:space="preserve"> PAGEREF _Toc500163667 \h </w:instrText>
            </w:r>
            <w:r>
              <w:rPr>
                <w:noProof/>
                <w:webHidden/>
              </w:rPr>
            </w:r>
            <w:r>
              <w:rPr>
                <w:noProof/>
                <w:webHidden/>
              </w:rPr>
              <w:fldChar w:fldCharType="separate"/>
            </w:r>
            <w:r>
              <w:rPr>
                <w:noProof/>
                <w:webHidden/>
              </w:rPr>
              <w:t>5</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68" w:history="1">
            <w:r w:rsidRPr="00FA0596">
              <w:rPr>
                <w:rStyle w:val="Hipervnculo"/>
                <w:noProof/>
              </w:rPr>
              <w:t>II.2.A</w:t>
            </w:r>
            <w:r>
              <w:rPr>
                <w:rFonts w:asciiTheme="minorHAnsi" w:hAnsiTheme="minorHAnsi"/>
                <w:noProof/>
                <w:sz w:val="22"/>
              </w:rPr>
              <w:tab/>
            </w:r>
            <w:r w:rsidRPr="00FA0596">
              <w:rPr>
                <w:rStyle w:val="Hipervnculo"/>
                <w:noProof/>
              </w:rPr>
              <w:t>Método de Cálculo por entidad federativa</w:t>
            </w:r>
            <w:r>
              <w:rPr>
                <w:noProof/>
                <w:webHidden/>
              </w:rPr>
              <w:tab/>
            </w:r>
            <w:r>
              <w:rPr>
                <w:noProof/>
                <w:webHidden/>
              </w:rPr>
              <w:fldChar w:fldCharType="begin"/>
            </w:r>
            <w:r>
              <w:rPr>
                <w:noProof/>
                <w:webHidden/>
              </w:rPr>
              <w:instrText xml:space="preserve"> PAGEREF _Toc500163668 \h </w:instrText>
            </w:r>
            <w:r>
              <w:rPr>
                <w:noProof/>
                <w:webHidden/>
              </w:rPr>
            </w:r>
            <w:r>
              <w:rPr>
                <w:noProof/>
                <w:webHidden/>
              </w:rPr>
              <w:fldChar w:fldCharType="separate"/>
            </w:r>
            <w:r>
              <w:rPr>
                <w:noProof/>
                <w:webHidden/>
              </w:rPr>
              <w:t>5</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69" w:history="1">
            <w:r w:rsidRPr="00FA0596">
              <w:rPr>
                <w:rStyle w:val="Hipervnculo"/>
                <w:noProof/>
              </w:rPr>
              <w:t>II.2.B</w:t>
            </w:r>
            <w:r>
              <w:rPr>
                <w:rFonts w:asciiTheme="minorHAnsi" w:hAnsiTheme="minorHAnsi"/>
                <w:noProof/>
                <w:sz w:val="22"/>
              </w:rPr>
              <w:tab/>
            </w:r>
            <w:r w:rsidRPr="00FA0596">
              <w:rPr>
                <w:rStyle w:val="Hipervnculo"/>
                <w:noProof/>
              </w:rPr>
              <w:t>Ponderación de variables</w:t>
            </w:r>
            <w:r>
              <w:rPr>
                <w:noProof/>
                <w:webHidden/>
              </w:rPr>
              <w:tab/>
            </w:r>
            <w:r>
              <w:rPr>
                <w:noProof/>
                <w:webHidden/>
              </w:rPr>
              <w:fldChar w:fldCharType="begin"/>
            </w:r>
            <w:r>
              <w:rPr>
                <w:noProof/>
                <w:webHidden/>
              </w:rPr>
              <w:instrText xml:space="preserve"> PAGEREF _Toc500163669 \h </w:instrText>
            </w:r>
            <w:r>
              <w:rPr>
                <w:noProof/>
                <w:webHidden/>
              </w:rPr>
            </w:r>
            <w:r>
              <w:rPr>
                <w:noProof/>
                <w:webHidden/>
              </w:rPr>
              <w:fldChar w:fldCharType="separate"/>
            </w:r>
            <w:r>
              <w:rPr>
                <w:noProof/>
                <w:webHidden/>
              </w:rPr>
              <w:t>6</w:t>
            </w:r>
            <w:r>
              <w:rPr>
                <w:noProof/>
                <w:webHidden/>
              </w:rPr>
              <w:fldChar w:fldCharType="end"/>
            </w:r>
          </w:hyperlink>
        </w:p>
        <w:p w:rsidR="00A15A0C" w:rsidRDefault="00A15A0C">
          <w:pPr>
            <w:pStyle w:val="TDC2"/>
            <w:tabs>
              <w:tab w:val="left" w:pos="880"/>
              <w:tab w:val="right" w:leader="dot" w:pos="8828"/>
            </w:tabs>
            <w:rPr>
              <w:rFonts w:asciiTheme="minorHAnsi" w:hAnsiTheme="minorHAnsi"/>
              <w:noProof/>
              <w:sz w:val="22"/>
            </w:rPr>
          </w:pPr>
          <w:hyperlink w:anchor="_Toc500163670" w:history="1">
            <w:r w:rsidRPr="00FA0596">
              <w:rPr>
                <w:rStyle w:val="Hipervnculo"/>
                <w:noProof/>
                <w:lang w:eastAsia="zh-TW"/>
              </w:rPr>
              <w:t>II.3</w:t>
            </w:r>
            <w:r>
              <w:rPr>
                <w:rFonts w:asciiTheme="minorHAnsi" w:hAnsiTheme="minorHAnsi"/>
                <w:noProof/>
                <w:sz w:val="22"/>
              </w:rPr>
              <w:tab/>
            </w:r>
            <w:r w:rsidRPr="00FA0596">
              <w:rPr>
                <w:rStyle w:val="Hipervnculo"/>
                <w:noProof/>
                <w:lang w:eastAsia="zh-TW"/>
              </w:rPr>
              <w:t>Fuentes de información</w:t>
            </w:r>
            <w:r>
              <w:rPr>
                <w:noProof/>
                <w:webHidden/>
              </w:rPr>
              <w:tab/>
            </w:r>
            <w:r>
              <w:rPr>
                <w:noProof/>
                <w:webHidden/>
              </w:rPr>
              <w:fldChar w:fldCharType="begin"/>
            </w:r>
            <w:r>
              <w:rPr>
                <w:noProof/>
                <w:webHidden/>
              </w:rPr>
              <w:instrText xml:space="preserve"> PAGEREF _Toc500163670 \h </w:instrText>
            </w:r>
            <w:r>
              <w:rPr>
                <w:noProof/>
                <w:webHidden/>
              </w:rPr>
            </w:r>
            <w:r>
              <w:rPr>
                <w:noProof/>
                <w:webHidden/>
              </w:rPr>
              <w:fldChar w:fldCharType="separate"/>
            </w:r>
            <w:r>
              <w:rPr>
                <w:noProof/>
                <w:webHidden/>
              </w:rPr>
              <w:t>6</w:t>
            </w:r>
            <w:r>
              <w:rPr>
                <w:noProof/>
                <w:webHidden/>
              </w:rPr>
              <w:fldChar w:fldCharType="end"/>
            </w:r>
          </w:hyperlink>
        </w:p>
        <w:p w:rsidR="00A15A0C" w:rsidRDefault="00A15A0C">
          <w:pPr>
            <w:pStyle w:val="TDC1"/>
            <w:tabs>
              <w:tab w:val="right" w:leader="dot" w:pos="8828"/>
            </w:tabs>
            <w:rPr>
              <w:rFonts w:asciiTheme="minorHAnsi" w:hAnsiTheme="minorHAnsi"/>
              <w:noProof/>
              <w:sz w:val="22"/>
            </w:rPr>
          </w:pPr>
          <w:hyperlink w:anchor="_Toc500163671" w:history="1">
            <w:r w:rsidRPr="00FA0596">
              <w:rPr>
                <w:rStyle w:val="Hipervnculo"/>
                <w:noProof/>
              </w:rPr>
              <w:t>III. Criterios de Valoración para cada variable</w:t>
            </w:r>
            <w:r>
              <w:rPr>
                <w:noProof/>
                <w:webHidden/>
              </w:rPr>
              <w:tab/>
            </w:r>
            <w:r>
              <w:rPr>
                <w:noProof/>
                <w:webHidden/>
              </w:rPr>
              <w:fldChar w:fldCharType="begin"/>
            </w:r>
            <w:r>
              <w:rPr>
                <w:noProof/>
                <w:webHidden/>
              </w:rPr>
              <w:instrText xml:space="preserve"> PAGEREF _Toc500163671 \h </w:instrText>
            </w:r>
            <w:r>
              <w:rPr>
                <w:noProof/>
                <w:webHidden/>
              </w:rPr>
            </w:r>
            <w:r>
              <w:rPr>
                <w:noProof/>
                <w:webHidden/>
              </w:rPr>
              <w:fldChar w:fldCharType="separate"/>
            </w:r>
            <w:r>
              <w:rPr>
                <w:noProof/>
                <w:webHidden/>
              </w:rPr>
              <w:t>7</w:t>
            </w:r>
            <w:r>
              <w:rPr>
                <w:noProof/>
                <w:webHidden/>
              </w:rPr>
              <w:fldChar w:fldCharType="end"/>
            </w:r>
          </w:hyperlink>
        </w:p>
        <w:p w:rsidR="00A15A0C" w:rsidRDefault="00A15A0C">
          <w:pPr>
            <w:pStyle w:val="TDC2"/>
            <w:tabs>
              <w:tab w:val="left" w:pos="880"/>
              <w:tab w:val="right" w:leader="dot" w:pos="8828"/>
            </w:tabs>
            <w:rPr>
              <w:rFonts w:asciiTheme="minorHAnsi" w:hAnsiTheme="minorHAnsi"/>
              <w:noProof/>
              <w:sz w:val="22"/>
            </w:rPr>
          </w:pPr>
          <w:hyperlink w:anchor="_Toc500163672" w:history="1">
            <w:r w:rsidRPr="00FA0596">
              <w:rPr>
                <w:rStyle w:val="Hipervnculo"/>
                <w:noProof/>
              </w:rPr>
              <w:t>II.4</w:t>
            </w:r>
            <w:r>
              <w:rPr>
                <w:rFonts w:asciiTheme="minorHAnsi" w:hAnsiTheme="minorHAnsi"/>
                <w:noProof/>
                <w:sz w:val="22"/>
              </w:rPr>
              <w:tab/>
            </w:r>
            <w:r w:rsidRPr="00FA0596">
              <w:rPr>
                <w:rStyle w:val="Hipervnculo"/>
                <w:rFonts w:eastAsia="Times New Roman"/>
                <w:noProof/>
              </w:rPr>
              <w:t>Avance Financiero (AF)</w:t>
            </w:r>
            <w:r>
              <w:rPr>
                <w:noProof/>
                <w:webHidden/>
              </w:rPr>
              <w:tab/>
            </w:r>
            <w:r>
              <w:rPr>
                <w:noProof/>
                <w:webHidden/>
              </w:rPr>
              <w:fldChar w:fldCharType="begin"/>
            </w:r>
            <w:r>
              <w:rPr>
                <w:noProof/>
                <w:webHidden/>
              </w:rPr>
              <w:instrText xml:space="preserve"> PAGEREF _Toc500163672 \h </w:instrText>
            </w:r>
            <w:r>
              <w:rPr>
                <w:noProof/>
                <w:webHidden/>
              </w:rPr>
            </w:r>
            <w:r>
              <w:rPr>
                <w:noProof/>
                <w:webHidden/>
              </w:rPr>
              <w:fldChar w:fldCharType="separate"/>
            </w:r>
            <w:r>
              <w:rPr>
                <w:noProof/>
                <w:webHidden/>
              </w:rPr>
              <w:t>7</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3" w:history="1">
            <w:r w:rsidRPr="00FA0596">
              <w:rPr>
                <w:rStyle w:val="Hipervnculo"/>
                <w:noProof/>
              </w:rPr>
              <w:t>II.4.A</w:t>
            </w:r>
            <w:r>
              <w:rPr>
                <w:rFonts w:asciiTheme="minorHAnsi" w:hAnsiTheme="minorHAnsi"/>
                <w:noProof/>
                <w:sz w:val="22"/>
              </w:rPr>
              <w:tab/>
            </w:r>
            <w:r w:rsidRPr="00FA0596">
              <w:rPr>
                <w:rStyle w:val="Hipervnculo"/>
                <w:noProof/>
              </w:rPr>
              <w:t>Definición</w:t>
            </w:r>
            <w:r>
              <w:rPr>
                <w:noProof/>
                <w:webHidden/>
              </w:rPr>
              <w:tab/>
            </w:r>
            <w:r>
              <w:rPr>
                <w:noProof/>
                <w:webHidden/>
              </w:rPr>
              <w:fldChar w:fldCharType="begin"/>
            </w:r>
            <w:r>
              <w:rPr>
                <w:noProof/>
                <w:webHidden/>
              </w:rPr>
              <w:instrText xml:space="preserve"> PAGEREF _Toc500163673 \h </w:instrText>
            </w:r>
            <w:r>
              <w:rPr>
                <w:noProof/>
                <w:webHidden/>
              </w:rPr>
            </w:r>
            <w:r>
              <w:rPr>
                <w:noProof/>
                <w:webHidden/>
              </w:rPr>
              <w:fldChar w:fldCharType="separate"/>
            </w:r>
            <w:r>
              <w:rPr>
                <w:noProof/>
                <w:webHidden/>
              </w:rPr>
              <w:t>7</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4" w:history="1">
            <w:r w:rsidRPr="00FA0596">
              <w:rPr>
                <w:rStyle w:val="Hipervnculo"/>
                <w:noProof/>
              </w:rPr>
              <w:t>II.4.B</w:t>
            </w:r>
            <w:r>
              <w:rPr>
                <w:rFonts w:asciiTheme="minorHAnsi" w:hAnsiTheme="minorHAnsi"/>
                <w:noProof/>
                <w:sz w:val="22"/>
              </w:rPr>
              <w:tab/>
            </w:r>
            <w:r w:rsidRPr="00FA0596">
              <w:rPr>
                <w:rStyle w:val="Hipervnculo"/>
                <w:noProof/>
              </w:rPr>
              <w:t>Método de Cálculo</w:t>
            </w:r>
            <w:r>
              <w:rPr>
                <w:noProof/>
                <w:webHidden/>
              </w:rPr>
              <w:tab/>
            </w:r>
            <w:r>
              <w:rPr>
                <w:noProof/>
                <w:webHidden/>
              </w:rPr>
              <w:fldChar w:fldCharType="begin"/>
            </w:r>
            <w:r>
              <w:rPr>
                <w:noProof/>
                <w:webHidden/>
              </w:rPr>
              <w:instrText xml:space="preserve"> PAGEREF _Toc500163674 \h </w:instrText>
            </w:r>
            <w:r>
              <w:rPr>
                <w:noProof/>
                <w:webHidden/>
              </w:rPr>
            </w:r>
            <w:r>
              <w:rPr>
                <w:noProof/>
                <w:webHidden/>
              </w:rPr>
              <w:fldChar w:fldCharType="separate"/>
            </w:r>
            <w:r>
              <w:rPr>
                <w:noProof/>
                <w:webHidden/>
              </w:rPr>
              <w:t>7</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5" w:history="1">
            <w:r w:rsidRPr="00FA0596">
              <w:rPr>
                <w:rStyle w:val="Hipervnculo"/>
                <w:noProof/>
              </w:rPr>
              <w:t>II.4.C</w:t>
            </w:r>
            <w:r>
              <w:rPr>
                <w:rFonts w:asciiTheme="minorHAnsi" w:hAnsiTheme="minorHAnsi"/>
                <w:noProof/>
                <w:sz w:val="22"/>
              </w:rPr>
              <w:tab/>
            </w:r>
            <w:r w:rsidRPr="00FA0596">
              <w:rPr>
                <w:rStyle w:val="Hipervnculo"/>
                <w:noProof/>
              </w:rPr>
              <w:t>Consideraciones</w:t>
            </w:r>
            <w:r>
              <w:rPr>
                <w:noProof/>
                <w:webHidden/>
              </w:rPr>
              <w:tab/>
            </w:r>
            <w:r>
              <w:rPr>
                <w:noProof/>
                <w:webHidden/>
              </w:rPr>
              <w:fldChar w:fldCharType="begin"/>
            </w:r>
            <w:r>
              <w:rPr>
                <w:noProof/>
                <w:webHidden/>
              </w:rPr>
              <w:instrText xml:space="preserve"> PAGEREF _Toc500163675 \h </w:instrText>
            </w:r>
            <w:r>
              <w:rPr>
                <w:noProof/>
                <w:webHidden/>
              </w:rPr>
            </w:r>
            <w:r>
              <w:rPr>
                <w:noProof/>
                <w:webHidden/>
              </w:rPr>
              <w:fldChar w:fldCharType="separate"/>
            </w:r>
            <w:r>
              <w:rPr>
                <w:noProof/>
                <w:webHidden/>
              </w:rPr>
              <w:t>8</w:t>
            </w:r>
            <w:r>
              <w:rPr>
                <w:noProof/>
                <w:webHidden/>
              </w:rPr>
              <w:fldChar w:fldCharType="end"/>
            </w:r>
          </w:hyperlink>
        </w:p>
        <w:p w:rsidR="00A15A0C" w:rsidRDefault="00A15A0C">
          <w:pPr>
            <w:pStyle w:val="TDC2"/>
            <w:tabs>
              <w:tab w:val="left" w:pos="880"/>
              <w:tab w:val="right" w:leader="dot" w:pos="8828"/>
            </w:tabs>
            <w:rPr>
              <w:rFonts w:asciiTheme="minorHAnsi" w:hAnsiTheme="minorHAnsi"/>
              <w:noProof/>
              <w:sz w:val="22"/>
            </w:rPr>
          </w:pPr>
          <w:hyperlink w:anchor="_Toc500163676" w:history="1">
            <w:r w:rsidRPr="00FA0596">
              <w:rPr>
                <w:rStyle w:val="Hipervnculo"/>
                <w:rFonts w:eastAsia="Times New Roman"/>
                <w:noProof/>
              </w:rPr>
              <w:t>II.5</w:t>
            </w:r>
            <w:r>
              <w:rPr>
                <w:rFonts w:asciiTheme="minorHAnsi" w:hAnsiTheme="minorHAnsi"/>
                <w:noProof/>
                <w:sz w:val="22"/>
              </w:rPr>
              <w:tab/>
            </w:r>
            <w:r w:rsidRPr="00FA0596">
              <w:rPr>
                <w:rStyle w:val="Hipervnculo"/>
                <w:rFonts w:eastAsia="Times New Roman"/>
                <w:noProof/>
              </w:rPr>
              <w:t>Indicadores (I)</w:t>
            </w:r>
            <w:r>
              <w:rPr>
                <w:noProof/>
                <w:webHidden/>
              </w:rPr>
              <w:tab/>
            </w:r>
            <w:r>
              <w:rPr>
                <w:noProof/>
                <w:webHidden/>
              </w:rPr>
              <w:fldChar w:fldCharType="begin"/>
            </w:r>
            <w:r>
              <w:rPr>
                <w:noProof/>
                <w:webHidden/>
              </w:rPr>
              <w:instrText xml:space="preserve"> PAGEREF _Toc500163676 \h </w:instrText>
            </w:r>
            <w:r>
              <w:rPr>
                <w:noProof/>
                <w:webHidden/>
              </w:rPr>
            </w:r>
            <w:r>
              <w:rPr>
                <w:noProof/>
                <w:webHidden/>
              </w:rPr>
              <w:fldChar w:fldCharType="separate"/>
            </w:r>
            <w:r>
              <w:rPr>
                <w:noProof/>
                <w:webHidden/>
              </w:rPr>
              <w:t>8</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7" w:history="1">
            <w:r w:rsidRPr="00FA0596">
              <w:rPr>
                <w:rStyle w:val="Hipervnculo"/>
                <w:noProof/>
              </w:rPr>
              <w:t>II.5.A</w:t>
            </w:r>
            <w:r>
              <w:rPr>
                <w:rFonts w:asciiTheme="minorHAnsi" w:hAnsiTheme="minorHAnsi"/>
                <w:noProof/>
                <w:sz w:val="22"/>
              </w:rPr>
              <w:tab/>
            </w:r>
            <w:r w:rsidRPr="00FA0596">
              <w:rPr>
                <w:rStyle w:val="Hipervnculo"/>
                <w:noProof/>
              </w:rPr>
              <w:t>Definición</w:t>
            </w:r>
            <w:r>
              <w:rPr>
                <w:noProof/>
                <w:webHidden/>
              </w:rPr>
              <w:tab/>
            </w:r>
            <w:r>
              <w:rPr>
                <w:noProof/>
                <w:webHidden/>
              </w:rPr>
              <w:fldChar w:fldCharType="begin"/>
            </w:r>
            <w:r>
              <w:rPr>
                <w:noProof/>
                <w:webHidden/>
              </w:rPr>
              <w:instrText xml:space="preserve"> PAGEREF _Toc500163677 \h </w:instrText>
            </w:r>
            <w:r>
              <w:rPr>
                <w:noProof/>
                <w:webHidden/>
              </w:rPr>
            </w:r>
            <w:r>
              <w:rPr>
                <w:noProof/>
                <w:webHidden/>
              </w:rPr>
              <w:fldChar w:fldCharType="separate"/>
            </w:r>
            <w:r>
              <w:rPr>
                <w:noProof/>
                <w:webHidden/>
              </w:rPr>
              <w:t>8</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8" w:history="1">
            <w:r w:rsidRPr="00FA0596">
              <w:rPr>
                <w:rStyle w:val="Hipervnculo"/>
                <w:noProof/>
              </w:rPr>
              <w:t>II.5.B</w:t>
            </w:r>
            <w:r>
              <w:rPr>
                <w:rFonts w:asciiTheme="minorHAnsi" w:hAnsiTheme="minorHAnsi"/>
                <w:noProof/>
                <w:sz w:val="22"/>
              </w:rPr>
              <w:tab/>
            </w:r>
            <w:r w:rsidRPr="00FA0596">
              <w:rPr>
                <w:rStyle w:val="Hipervnculo"/>
                <w:noProof/>
              </w:rPr>
              <w:t>Método de Cálculo</w:t>
            </w:r>
            <w:r>
              <w:rPr>
                <w:noProof/>
                <w:webHidden/>
              </w:rPr>
              <w:tab/>
            </w:r>
            <w:r>
              <w:rPr>
                <w:noProof/>
                <w:webHidden/>
              </w:rPr>
              <w:fldChar w:fldCharType="begin"/>
            </w:r>
            <w:r>
              <w:rPr>
                <w:noProof/>
                <w:webHidden/>
              </w:rPr>
              <w:instrText xml:space="preserve"> PAGEREF _Toc500163678 \h </w:instrText>
            </w:r>
            <w:r>
              <w:rPr>
                <w:noProof/>
                <w:webHidden/>
              </w:rPr>
            </w:r>
            <w:r>
              <w:rPr>
                <w:noProof/>
                <w:webHidden/>
              </w:rPr>
              <w:fldChar w:fldCharType="separate"/>
            </w:r>
            <w:r>
              <w:rPr>
                <w:noProof/>
                <w:webHidden/>
              </w:rPr>
              <w:t>9</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79" w:history="1">
            <w:r w:rsidRPr="00FA0596">
              <w:rPr>
                <w:rStyle w:val="Hipervnculo"/>
                <w:noProof/>
              </w:rPr>
              <w:t>II.5.C</w:t>
            </w:r>
            <w:r>
              <w:rPr>
                <w:rFonts w:asciiTheme="minorHAnsi" w:hAnsiTheme="minorHAnsi"/>
                <w:noProof/>
                <w:sz w:val="22"/>
              </w:rPr>
              <w:tab/>
            </w:r>
            <w:r w:rsidRPr="00FA0596">
              <w:rPr>
                <w:rStyle w:val="Hipervnculo"/>
                <w:noProof/>
              </w:rPr>
              <w:t>Subvariables</w:t>
            </w:r>
            <w:r>
              <w:rPr>
                <w:noProof/>
                <w:webHidden/>
              </w:rPr>
              <w:tab/>
            </w:r>
            <w:r>
              <w:rPr>
                <w:noProof/>
                <w:webHidden/>
              </w:rPr>
              <w:fldChar w:fldCharType="begin"/>
            </w:r>
            <w:r>
              <w:rPr>
                <w:noProof/>
                <w:webHidden/>
              </w:rPr>
              <w:instrText xml:space="preserve"> PAGEREF _Toc500163679 \h </w:instrText>
            </w:r>
            <w:r>
              <w:rPr>
                <w:noProof/>
                <w:webHidden/>
              </w:rPr>
            </w:r>
            <w:r>
              <w:rPr>
                <w:noProof/>
                <w:webHidden/>
              </w:rPr>
              <w:fldChar w:fldCharType="separate"/>
            </w:r>
            <w:r>
              <w:rPr>
                <w:noProof/>
                <w:webHidden/>
              </w:rPr>
              <w:t>10</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80" w:history="1">
            <w:r w:rsidRPr="00FA0596">
              <w:rPr>
                <w:rStyle w:val="Hipervnculo"/>
                <w:noProof/>
              </w:rPr>
              <w:t>II.5.D</w:t>
            </w:r>
            <w:r>
              <w:rPr>
                <w:rFonts w:asciiTheme="minorHAnsi" w:hAnsiTheme="minorHAnsi"/>
                <w:noProof/>
                <w:sz w:val="22"/>
              </w:rPr>
              <w:tab/>
            </w:r>
            <w:r w:rsidRPr="00FA0596">
              <w:rPr>
                <w:rStyle w:val="Hipervnculo"/>
                <w:noProof/>
              </w:rPr>
              <w:t>Periodicidad de los indicadores.</w:t>
            </w:r>
            <w:r>
              <w:rPr>
                <w:noProof/>
                <w:webHidden/>
              </w:rPr>
              <w:tab/>
            </w:r>
            <w:r>
              <w:rPr>
                <w:noProof/>
                <w:webHidden/>
              </w:rPr>
              <w:fldChar w:fldCharType="begin"/>
            </w:r>
            <w:r>
              <w:rPr>
                <w:noProof/>
                <w:webHidden/>
              </w:rPr>
              <w:instrText xml:space="preserve"> PAGEREF _Toc500163680 \h </w:instrText>
            </w:r>
            <w:r>
              <w:rPr>
                <w:noProof/>
                <w:webHidden/>
              </w:rPr>
            </w:r>
            <w:r>
              <w:rPr>
                <w:noProof/>
                <w:webHidden/>
              </w:rPr>
              <w:fldChar w:fldCharType="separate"/>
            </w:r>
            <w:r>
              <w:rPr>
                <w:noProof/>
                <w:webHidden/>
              </w:rPr>
              <w:t>11</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81" w:history="1">
            <w:r w:rsidRPr="00FA0596">
              <w:rPr>
                <w:rStyle w:val="Hipervnculo"/>
                <w:noProof/>
              </w:rPr>
              <w:t>II.5.E</w:t>
            </w:r>
            <w:r>
              <w:rPr>
                <w:rFonts w:asciiTheme="minorHAnsi" w:hAnsiTheme="minorHAnsi"/>
                <w:noProof/>
                <w:sz w:val="22"/>
              </w:rPr>
              <w:tab/>
            </w:r>
            <w:r w:rsidRPr="00FA0596">
              <w:rPr>
                <w:rStyle w:val="Hipervnculo"/>
                <w:noProof/>
              </w:rPr>
              <w:t>Consideraciones</w:t>
            </w:r>
            <w:r>
              <w:rPr>
                <w:noProof/>
                <w:webHidden/>
              </w:rPr>
              <w:tab/>
            </w:r>
            <w:r>
              <w:rPr>
                <w:noProof/>
                <w:webHidden/>
              </w:rPr>
              <w:fldChar w:fldCharType="begin"/>
            </w:r>
            <w:r>
              <w:rPr>
                <w:noProof/>
                <w:webHidden/>
              </w:rPr>
              <w:instrText xml:space="preserve"> PAGEREF _Toc500163681 \h </w:instrText>
            </w:r>
            <w:r>
              <w:rPr>
                <w:noProof/>
                <w:webHidden/>
              </w:rPr>
            </w:r>
            <w:r>
              <w:rPr>
                <w:noProof/>
                <w:webHidden/>
              </w:rPr>
              <w:fldChar w:fldCharType="separate"/>
            </w:r>
            <w:r>
              <w:rPr>
                <w:noProof/>
                <w:webHidden/>
              </w:rPr>
              <w:t>12</w:t>
            </w:r>
            <w:r>
              <w:rPr>
                <w:noProof/>
                <w:webHidden/>
              </w:rPr>
              <w:fldChar w:fldCharType="end"/>
            </w:r>
          </w:hyperlink>
        </w:p>
        <w:p w:rsidR="00A15A0C" w:rsidRDefault="00A15A0C">
          <w:pPr>
            <w:pStyle w:val="TDC2"/>
            <w:tabs>
              <w:tab w:val="left" w:pos="880"/>
              <w:tab w:val="right" w:leader="dot" w:pos="8828"/>
            </w:tabs>
            <w:rPr>
              <w:rFonts w:asciiTheme="minorHAnsi" w:hAnsiTheme="minorHAnsi"/>
              <w:noProof/>
              <w:sz w:val="22"/>
            </w:rPr>
          </w:pPr>
          <w:hyperlink w:anchor="_Toc500163682" w:history="1">
            <w:r w:rsidRPr="00FA0596">
              <w:rPr>
                <w:rStyle w:val="Hipervnculo"/>
                <w:noProof/>
              </w:rPr>
              <w:t>II.6</w:t>
            </w:r>
            <w:r>
              <w:rPr>
                <w:rFonts w:asciiTheme="minorHAnsi" w:hAnsiTheme="minorHAnsi"/>
                <w:noProof/>
                <w:sz w:val="22"/>
              </w:rPr>
              <w:tab/>
            </w:r>
            <w:r w:rsidRPr="00FA0596">
              <w:rPr>
                <w:rStyle w:val="Hipervnculo"/>
                <w:noProof/>
              </w:rPr>
              <w:t>Gestión de Programas y Proyectos de Inversión (GPP)</w:t>
            </w:r>
            <w:r>
              <w:rPr>
                <w:noProof/>
                <w:webHidden/>
              </w:rPr>
              <w:tab/>
            </w:r>
            <w:r>
              <w:rPr>
                <w:noProof/>
                <w:webHidden/>
              </w:rPr>
              <w:fldChar w:fldCharType="begin"/>
            </w:r>
            <w:r>
              <w:rPr>
                <w:noProof/>
                <w:webHidden/>
              </w:rPr>
              <w:instrText xml:space="preserve"> PAGEREF _Toc500163682 \h </w:instrText>
            </w:r>
            <w:r>
              <w:rPr>
                <w:noProof/>
                <w:webHidden/>
              </w:rPr>
            </w:r>
            <w:r>
              <w:rPr>
                <w:noProof/>
                <w:webHidden/>
              </w:rPr>
              <w:fldChar w:fldCharType="separate"/>
            </w:r>
            <w:r>
              <w:rPr>
                <w:noProof/>
                <w:webHidden/>
              </w:rPr>
              <w:t>12</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83" w:history="1">
            <w:r w:rsidRPr="00FA0596">
              <w:rPr>
                <w:rStyle w:val="Hipervnculo"/>
                <w:noProof/>
              </w:rPr>
              <w:t>II.6.A</w:t>
            </w:r>
            <w:r>
              <w:rPr>
                <w:rFonts w:asciiTheme="minorHAnsi" w:hAnsiTheme="minorHAnsi"/>
                <w:noProof/>
                <w:sz w:val="22"/>
              </w:rPr>
              <w:tab/>
            </w:r>
            <w:r w:rsidRPr="00FA0596">
              <w:rPr>
                <w:rStyle w:val="Hipervnculo"/>
                <w:noProof/>
              </w:rPr>
              <w:t>Definición</w:t>
            </w:r>
            <w:r>
              <w:rPr>
                <w:noProof/>
                <w:webHidden/>
              </w:rPr>
              <w:tab/>
            </w:r>
            <w:r>
              <w:rPr>
                <w:noProof/>
                <w:webHidden/>
              </w:rPr>
              <w:fldChar w:fldCharType="begin"/>
            </w:r>
            <w:r>
              <w:rPr>
                <w:noProof/>
                <w:webHidden/>
              </w:rPr>
              <w:instrText xml:space="preserve"> PAGEREF _Toc500163683 \h </w:instrText>
            </w:r>
            <w:r>
              <w:rPr>
                <w:noProof/>
                <w:webHidden/>
              </w:rPr>
            </w:r>
            <w:r>
              <w:rPr>
                <w:noProof/>
                <w:webHidden/>
              </w:rPr>
              <w:fldChar w:fldCharType="separate"/>
            </w:r>
            <w:r>
              <w:rPr>
                <w:noProof/>
                <w:webHidden/>
              </w:rPr>
              <w:t>12</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84" w:history="1">
            <w:r w:rsidRPr="00FA0596">
              <w:rPr>
                <w:rStyle w:val="Hipervnculo"/>
                <w:noProof/>
              </w:rPr>
              <w:t>II.6.B</w:t>
            </w:r>
            <w:r>
              <w:rPr>
                <w:rFonts w:asciiTheme="minorHAnsi" w:hAnsiTheme="minorHAnsi"/>
                <w:noProof/>
                <w:sz w:val="22"/>
              </w:rPr>
              <w:tab/>
            </w:r>
            <w:r w:rsidRPr="00FA0596">
              <w:rPr>
                <w:rStyle w:val="Hipervnculo"/>
                <w:noProof/>
              </w:rPr>
              <w:t>Método de cálculo</w:t>
            </w:r>
            <w:r>
              <w:rPr>
                <w:noProof/>
                <w:webHidden/>
              </w:rPr>
              <w:tab/>
            </w:r>
            <w:r>
              <w:rPr>
                <w:noProof/>
                <w:webHidden/>
              </w:rPr>
              <w:fldChar w:fldCharType="begin"/>
            </w:r>
            <w:r>
              <w:rPr>
                <w:noProof/>
                <w:webHidden/>
              </w:rPr>
              <w:instrText xml:space="preserve"> PAGEREF _Toc500163684 \h </w:instrText>
            </w:r>
            <w:r>
              <w:rPr>
                <w:noProof/>
                <w:webHidden/>
              </w:rPr>
            </w:r>
            <w:r>
              <w:rPr>
                <w:noProof/>
                <w:webHidden/>
              </w:rPr>
              <w:fldChar w:fldCharType="separate"/>
            </w:r>
            <w:r>
              <w:rPr>
                <w:noProof/>
                <w:webHidden/>
              </w:rPr>
              <w:t>13</w:t>
            </w:r>
            <w:r>
              <w:rPr>
                <w:noProof/>
                <w:webHidden/>
              </w:rPr>
              <w:fldChar w:fldCharType="end"/>
            </w:r>
          </w:hyperlink>
        </w:p>
        <w:p w:rsidR="00A15A0C" w:rsidRDefault="00A15A0C">
          <w:pPr>
            <w:pStyle w:val="TDC3"/>
            <w:tabs>
              <w:tab w:val="left" w:pos="1320"/>
              <w:tab w:val="right" w:leader="dot" w:pos="8828"/>
            </w:tabs>
            <w:rPr>
              <w:rFonts w:asciiTheme="minorHAnsi" w:hAnsiTheme="minorHAnsi"/>
              <w:noProof/>
              <w:sz w:val="22"/>
            </w:rPr>
          </w:pPr>
          <w:hyperlink w:anchor="_Toc500163685" w:history="1">
            <w:r w:rsidRPr="00FA0596">
              <w:rPr>
                <w:rStyle w:val="Hipervnculo"/>
                <w:noProof/>
              </w:rPr>
              <w:t>II.6.C</w:t>
            </w:r>
            <w:r>
              <w:rPr>
                <w:rFonts w:asciiTheme="minorHAnsi" w:hAnsiTheme="minorHAnsi"/>
                <w:noProof/>
                <w:sz w:val="22"/>
              </w:rPr>
              <w:tab/>
            </w:r>
            <w:r w:rsidRPr="00FA0596">
              <w:rPr>
                <w:rStyle w:val="Hipervnculo"/>
                <w:noProof/>
              </w:rPr>
              <w:t>Consideraciones</w:t>
            </w:r>
            <w:r>
              <w:rPr>
                <w:noProof/>
                <w:webHidden/>
              </w:rPr>
              <w:tab/>
            </w:r>
            <w:r>
              <w:rPr>
                <w:noProof/>
                <w:webHidden/>
              </w:rPr>
              <w:fldChar w:fldCharType="begin"/>
            </w:r>
            <w:r>
              <w:rPr>
                <w:noProof/>
                <w:webHidden/>
              </w:rPr>
              <w:instrText xml:space="preserve"> PAGEREF _Toc500163685 \h </w:instrText>
            </w:r>
            <w:r>
              <w:rPr>
                <w:noProof/>
                <w:webHidden/>
              </w:rPr>
            </w:r>
            <w:r>
              <w:rPr>
                <w:noProof/>
                <w:webHidden/>
              </w:rPr>
              <w:fldChar w:fldCharType="separate"/>
            </w:r>
            <w:r>
              <w:rPr>
                <w:noProof/>
                <w:webHidden/>
              </w:rPr>
              <w:t>13</w:t>
            </w:r>
            <w:r>
              <w:rPr>
                <w:noProof/>
                <w:webHidden/>
              </w:rPr>
              <w:fldChar w:fldCharType="end"/>
            </w:r>
          </w:hyperlink>
        </w:p>
        <w:p w:rsidR="003070AA" w:rsidRDefault="003070AA" w:rsidP="00852D19">
          <w:r>
            <w:rPr>
              <w:b/>
              <w:bCs/>
              <w:lang w:val="es-ES"/>
            </w:rPr>
            <w:fldChar w:fldCharType="end"/>
          </w:r>
        </w:p>
      </w:sdtContent>
    </w:sdt>
    <w:p w:rsidR="003070AA" w:rsidRPr="008E4728" w:rsidRDefault="003070AA" w:rsidP="00852D19">
      <w:pPr>
        <w:pStyle w:val="Ttulo1"/>
        <w:numPr>
          <w:ilvl w:val="0"/>
          <w:numId w:val="1"/>
        </w:numPr>
      </w:pPr>
      <w:bookmarkStart w:id="1" w:name="_Toc500163662"/>
      <w:r w:rsidRPr="008E4728">
        <w:lastRenderedPageBreak/>
        <w:t>Antecedentes</w:t>
      </w:r>
      <w:bookmarkEnd w:id="1"/>
      <w:r w:rsidRPr="008E4728">
        <w:t xml:space="preserve"> </w:t>
      </w:r>
    </w:p>
    <w:p w:rsidR="00B61398" w:rsidRDefault="00B61398" w:rsidP="00852D19">
      <w:r>
        <w:t xml:space="preserve">La información del desempeño </w:t>
      </w:r>
      <w:r w:rsidR="0039738E">
        <w:t>proporciona</w:t>
      </w:r>
      <w:r>
        <w:t xml:space="preserve"> datos de forma oportuna para llevar a cabo las acciones necesarias, a fin de que los programas presupuestarios alcancen los objetivos para los que fueron planteados y, con ello, se atiendan los principales problemas de la población. </w:t>
      </w:r>
      <w:r w:rsidR="001D24E2">
        <w:t>Para lograrlo, la generación y el análisis de la información del desempeño debe realizarse para la totalidad de los recursos que se asignan para alcanzar objetivos específicos, independientemente de quién sea su ejecutor</w:t>
      </w:r>
      <w:r>
        <w:t>.</w:t>
      </w:r>
    </w:p>
    <w:p w:rsidR="001D24E2" w:rsidRDefault="001D24E2" w:rsidP="00852D19">
      <w:r>
        <w:t xml:space="preserve">Consciente de ello, el Gobierno de la República ha impulsado el objetivo transversal de </w:t>
      </w:r>
      <w:r w:rsidR="0096629E">
        <w:t>fortalecer el P</w:t>
      </w:r>
      <w:r w:rsidR="0039738E">
        <w:t xml:space="preserve">resupuesto </w:t>
      </w:r>
      <w:r w:rsidR="0096629E">
        <w:t>b</w:t>
      </w:r>
      <w:r w:rsidR="0039738E">
        <w:t xml:space="preserve">asado en </w:t>
      </w:r>
      <w:r w:rsidR="0096629E">
        <w:t>R</w:t>
      </w:r>
      <w:r w:rsidR="0039738E">
        <w:t>esultados (PbR)</w:t>
      </w:r>
      <w:r w:rsidR="00682369">
        <w:rPr>
          <w:rStyle w:val="Refdenotaalpie"/>
        </w:rPr>
        <w:footnoteReference w:id="1"/>
      </w:r>
      <w:r w:rsidR="0096629E">
        <w:t xml:space="preserve"> de la </w:t>
      </w:r>
      <w:r w:rsidR="0039738E">
        <w:t>Administración Pública Federal (</w:t>
      </w:r>
      <w:r w:rsidR="0096629E">
        <w:t>APF</w:t>
      </w:r>
      <w:r w:rsidR="0039738E">
        <w:t>)</w:t>
      </w:r>
      <w:r w:rsidR="0096629E">
        <w:t>, i</w:t>
      </w:r>
      <w:r>
        <w:t>ncluyendo el gasto federalizado</w:t>
      </w:r>
      <w:r w:rsidR="00682369">
        <w:rPr>
          <w:rStyle w:val="Refdenotaalpie"/>
        </w:rPr>
        <w:footnoteReference w:id="2"/>
      </w:r>
      <w:r>
        <w:t xml:space="preserve">, por medio del Programa para un Gobierno Cercano y Moderno </w:t>
      </w:r>
      <w:r w:rsidRPr="001D24E2">
        <w:t xml:space="preserve">2013-2018 (PGCM), publicado en el Diario Oficial de la Federación </w:t>
      </w:r>
      <w:r w:rsidR="00AB42C7">
        <w:t xml:space="preserve">(DOF) </w:t>
      </w:r>
      <w:r w:rsidRPr="001D24E2">
        <w:t>el 30 de agosto de 2013</w:t>
      </w:r>
      <w:r>
        <w:t>.</w:t>
      </w:r>
      <w:r w:rsidRPr="001D24E2">
        <w:t xml:space="preserve"> </w:t>
      </w:r>
      <w:r>
        <w:t>Con ello, se busca contar con información sobre el desempeño del ejercicio de los recursos público</w:t>
      </w:r>
      <w:r w:rsidR="00B4001D">
        <w:t>s</w:t>
      </w:r>
      <w:r>
        <w:t>, incluso de aquellos que son transferidos para que las entidades federativas, municipios y demarcaciones</w:t>
      </w:r>
      <w:r w:rsidR="001F3C9F">
        <w:t xml:space="preserve"> </w:t>
      </w:r>
      <w:r>
        <w:t>territoriales del Distrito Federal</w:t>
      </w:r>
      <w:r w:rsidR="0039738E">
        <w:t xml:space="preserve"> </w:t>
      </w:r>
      <w:r w:rsidR="001F3C9F">
        <w:t xml:space="preserve">(Gobiernos Locales) </w:t>
      </w:r>
      <w:r>
        <w:t>los ejerzan. En este sentido, l</w:t>
      </w:r>
      <w:r w:rsidR="0096629E">
        <w:t>a principal estrategia definida en e</w:t>
      </w:r>
      <w:r w:rsidR="0039738E">
        <w:t>l PGCM</w:t>
      </w:r>
      <w:r w:rsidR="0096629E">
        <w:t xml:space="preserve"> para alcanzar dicho objetivo en términos de los recursos federales transferidos es la 2</w:t>
      </w:r>
      <w:r w:rsidR="00822A59">
        <w:t>.4</w:t>
      </w:r>
      <w:r w:rsidR="0096629E">
        <w:t xml:space="preserve"> “Mejorar la calidad del gasto federalizado con base en los preceptos del </w:t>
      </w:r>
      <w:r w:rsidR="0039738E">
        <w:t xml:space="preserve">[Sistema de Evaluación del Desempeño] </w:t>
      </w:r>
      <w:r w:rsidR="0096629E">
        <w:t>SED</w:t>
      </w:r>
      <w:r w:rsidR="00682369">
        <w:rPr>
          <w:rStyle w:val="Refdenotaalpie"/>
        </w:rPr>
        <w:footnoteReference w:id="3"/>
      </w:r>
      <w:r w:rsidR="0096629E">
        <w:t xml:space="preserve">”. </w:t>
      </w:r>
    </w:p>
    <w:p w:rsidR="00C47420" w:rsidRPr="002769B9" w:rsidRDefault="002769B9" w:rsidP="00852D19">
      <w:r>
        <w:t>La incorporación de los preceptos del SED</w:t>
      </w:r>
      <w:r w:rsidR="00577386">
        <w:t xml:space="preserve"> en tal estrategia</w:t>
      </w:r>
      <w:r>
        <w:t xml:space="preserve"> se refiere a que se deberá contar con información </w:t>
      </w:r>
      <w:r w:rsidR="00657AD5">
        <w:t xml:space="preserve">confiable </w:t>
      </w:r>
      <w:r>
        <w:t>sobre el de</w:t>
      </w:r>
      <w:r w:rsidR="00227995">
        <w:t>sempeño del gasto federalizado</w:t>
      </w:r>
      <w:r>
        <w:t>. Sin embargo, si dicha información no cuenta con criterios homogéneos y calidad suficiente, no es posible utilizarla para mejorar las asigna</w:t>
      </w:r>
      <w:r w:rsidR="00D77D16">
        <w:t>ciones presupuestarias y lograr</w:t>
      </w:r>
      <w:r w:rsidR="004E7907">
        <w:t>,</w:t>
      </w:r>
      <w:r>
        <w:t xml:space="preserve"> así, mayor impacto en las condiciones de vida de la población. Con base en </w:t>
      </w:r>
      <w:r w:rsidR="00657AD5">
        <w:t>lo anterior</w:t>
      </w:r>
      <w:r>
        <w:t xml:space="preserve">, surge el presente </w:t>
      </w:r>
      <w:r w:rsidRPr="002769B9">
        <w:rPr>
          <w:b/>
        </w:rPr>
        <w:t xml:space="preserve">Índice de </w:t>
      </w:r>
      <w:r w:rsidRPr="002769B9">
        <w:rPr>
          <w:b/>
        </w:rPr>
        <w:lastRenderedPageBreak/>
        <w:t xml:space="preserve">calidad en la </w:t>
      </w:r>
      <w:r w:rsidR="00657AD5">
        <w:rPr>
          <w:b/>
        </w:rPr>
        <w:t>i</w:t>
      </w:r>
      <w:r w:rsidRPr="002769B9">
        <w:rPr>
          <w:b/>
        </w:rPr>
        <w:t>nformación reportada sobre recursos federales transferidos</w:t>
      </w:r>
      <w:r>
        <w:t>, por medio del cual se busca identificar</w:t>
      </w:r>
      <w:r w:rsidR="00EB1ACA">
        <w:t xml:space="preserve"> si los informes presentados por </w:t>
      </w:r>
      <w:r w:rsidR="001F3C9F">
        <w:t>los Gobiernos Locales</w:t>
      </w:r>
      <w:r w:rsidR="00EB1ACA">
        <w:t xml:space="preserve">, cuentan con </w:t>
      </w:r>
      <w:r w:rsidR="005D5926">
        <w:t xml:space="preserve">las características necesarias para valorar el </w:t>
      </w:r>
      <w:r w:rsidR="0061552A">
        <w:t>desempeño del gasto federalizado.</w:t>
      </w:r>
    </w:p>
    <w:p w:rsidR="00B033A9" w:rsidRDefault="00AB42C7" w:rsidP="00852D19">
      <w:r>
        <w:t>Dichos informes incluyen información sobre el ejercicio, destino y resultados de los recursos federales transferidos por medio de aportaciones federales</w:t>
      </w:r>
      <w:r w:rsidR="00B02BF0">
        <w:rPr>
          <w:rStyle w:val="Refdenotaalpie"/>
        </w:rPr>
        <w:footnoteReference w:id="4"/>
      </w:r>
      <w:r>
        <w:t xml:space="preserve">, subsidios y convenios, al </w:t>
      </w:r>
      <w:r w:rsidR="00227995">
        <w:t>tratarse de recursos que cuentan</w:t>
      </w:r>
      <w:r>
        <w:t xml:space="preserve"> con objetivos específicos que se buscan alcanzar con su ejercicio.</w:t>
      </w:r>
      <w:r w:rsidR="00577386">
        <w:t xml:space="preserve"> Se realizan en términos de</w:t>
      </w:r>
      <w:r w:rsidR="00A815CE">
        <w:t xml:space="preserve"> los</w:t>
      </w:r>
      <w:r w:rsidR="00577386">
        <w:t xml:space="preserve"> artículo</w:t>
      </w:r>
      <w:r w:rsidR="00A815CE">
        <w:t>s</w:t>
      </w:r>
      <w:r w:rsidR="00577386">
        <w:t xml:space="preserve"> 85 de la Ley Federal de Presupuesto y Responsabilidad Hacendaria (LFPRH) y 48 de la Ley de Coordinación Fiscal (LCF), donde se establece que la Secretaría de Hacienda y Crédito Público (SHCP) pondrá a disposición de l</w:t>
      </w:r>
      <w:r w:rsidR="001F3C9F">
        <w:t xml:space="preserve">os Gobiernos Locales </w:t>
      </w:r>
      <w:r w:rsidR="00577386">
        <w:t xml:space="preserve">un sistema para que puedan informar sobre el </w:t>
      </w:r>
      <w:r w:rsidR="00D77D16">
        <w:t>desempeño de los</w:t>
      </w:r>
      <w:r w:rsidR="00577386">
        <w:t xml:space="preserve"> recursos federales transferidos, el Sistema de Formato Único (SFU)</w:t>
      </w:r>
      <w:r w:rsidR="00B02BF0">
        <w:rPr>
          <w:rStyle w:val="Refdenotaalpie"/>
        </w:rPr>
        <w:footnoteReference w:id="5"/>
      </w:r>
      <w:r w:rsidR="00577386">
        <w:t>.</w:t>
      </w:r>
    </w:p>
    <w:p w:rsidR="00AB42C7" w:rsidRDefault="00AB42C7" w:rsidP="00852D19">
      <w:r>
        <w:t>Al respecto, cabe aclarar que</w:t>
      </w:r>
      <w:r w:rsidR="00A815CE">
        <w:t>,</w:t>
      </w:r>
      <w:r>
        <w:t xml:space="preserve"> a partir del 25 de abril de 2013, con la publicación en el DOF de los </w:t>
      </w:r>
      <w:r w:rsidR="00822A59">
        <w:t>“</w:t>
      </w:r>
      <w:r>
        <w:t xml:space="preserve">Lineamientos para informar </w:t>
      </w:r>
      <w:r w:rsidRPr="00C01F99">
        <w:t xml:space="preserve">sobre los recursos federales transferidos a las entidades federativas, municipios y demarcaciones territoriales del </w:t>
      </w:r>
      <w:r w:rsidR="0039738E">
        <w:t>D</w:t>
      </w:r>
      <w:r w:rsidR="001F3C9F">
        <w:t>istrito</w:t>
      </w:r>
      <w:r w:rsidR="00B46018">
        <w:t xml:space="preserve"> </w:t>
      </w:r>
      <w:r w:rsidR="0039738E">
        <w:t>F</w:t>
      </w:r>
      <w:r w:rsidR="001F3C9F">
        <w:t>ederal</w:t>
      </w:r>
      <w:r w:rsidRPr="00C01F99">
        <w:t>, y de operación de los recursos del Ramo General</w:t>
      </w:r>
      <w:r w:rsidR="00B02BF0">
        <w:rPr>
          <w:rStyle w:val="Refdenotaalpie"/>
        </w:rPr>
        <w:footnoteReference w:id="6"/>
      </w:r>
      <w:r w:rsidRPr="00C01F99">
        <w:t xml:space="preserve"> 33</w:t>
      </w:r>
      <w:r w:rsidR="00822A59">
        <w:t>”</w:t>
      </w:r>
      <w:r>
        <w:t xml:space="preserve"> (Lineamientos SFU), se han implementado cambios en el </w:t>
      </w:r>
      <w:r w:rsidR="00822A59">
        <w:t>S</w:t>
      </w:r>
      <w:r w:rsidR="00DE5138">
        <w:t>istema, con la finalidad de lograr que</w:t>
      </w:r>
      <w:r>
        <w:t xml:space="preserve"> cuente con los componentes y la estructura necesarios para que la información</w:t>
      </w:r>
      <w:r w:rsidR="0095659F">
        <w:t>,</w:t>
      </w:r>
      <w:r>
        <w:t xml:space="preserve"> que por </w:t>
      </w:r>
      <w:r w:rsidR="00DE5138">
        <w:t xml:space="preserve">su </w:t>
      </w:r>
      <w:r>
        <w:t>medio se recaba</w:t>
      </w:r>
      <w:r w:rsidR="0095659F">
        <w:t>,</w:t>
      </w:r>
      <w:r>
        <w:t xml:space="preserve"> permita analizar el ejercicio, destino y resultados del gasto federalizado.</w:t>
      </w:r>
    </w:p>
    <w:p w:rsidR="008E29B5" w:rsidRDefault="00DE5138" w:rsidP="00852D19">
      <w:r>
        <w:t>Como resultado de ello, a</w:t>
      </w:r>
      <w:r w:rsidR="00B033A9">
        <w:t xml:space="preserve"> partir </w:t>
      </w:r>
      <w:r>
        <w:t>del primer trimestre de 2014, el SFU</w:t>
      </w:r>
      <w:r w:rsidR="00B033A9">
        <w:t xml:space="preserve"> c</w:t>
      </w:r>
      <w:r w:rsidR="00AB42C7">
        <w:t xml:space="preserve">uenta con la estructura requerida, por lo que es posible medir la calidad de la información reportada e implementar acciones para, en primer lugar valorar el desempeño de los recursos federales transferidos y, en segundo lugar, mejorar su impacto </w:t>
      </w:r>
      <w:r w:rsidR="00EA754F">
        <w:t>sobre la calidad de vida de la población.</w:t>
      </w:r>
      <w:r w:rsidR="006D3AE1">
        <w:t xml:space="preserve"> </w:t>
      </w:r>
    </w:p>
    <w:p w:rsidR="003070AA" w:rsidRDefault="003070AA" w:rsidP="00852D19">
      <w:pPr>
        <w:pStyle w:val="Ttulo1"/>
        <w:numPr>
          <w:ilvl w:val="0"/>
          <w:numId w:val="1"/>
        </w:numPr>
      </w:pPr>
      <w:bookmarkStart w:id="2" w:name="_Toc500163663"/>
      <w:r w:rsidRPr="002C6357">
        <w:lastRenderedPageBreak/>
        <w:t>Metodología</w:t>
      </w:r>
      <w:bookmarkEnd w:id="2"/>
    </w:p>
    <w:p w:rsidR="006D3AE1" w:rsidRDefault="006D3AE1" w:rsidP="00852D19">
      <w:pPr>
        <w:pStyle w:val="Ttulo2"/>
      </w:pPr>
      <w:bookmarkStart w:id="3" w:name="_Toc500163664"/>
      <w:r>
        <w:t>Valoración nacional</w:t>
      </w:r>
      <w:bookmarkEnd w:id="3"/>
    </w:p>
    <w:p w:rsidR="00BF71DA" w:rsidRDefault="00B033A9" w:rsidP="00852D19">
      <w:r>
        <w:t xml:space="preserve">Para contar con un agregado general que permita identificar la calidad en la información reportada </w:t>
      </w:r>
      <w:r w:rsidR="00011102">
        <w:t xml:space="preserve">por </w:t>
      </w:r>
      <w:r w:rsidR="00AC57C2">
        <w:t>lo</w:t>
      </w:r>
      <w:r w:rsidR="00B46018">
        <w:t xml:space="preserve">s </w:t>
      </w:r>
      <w:r w:rsidR="00AC57C2">
        <w:t>Gobiernos Locales s</w:t>
      </w:r>
      <w:r w:rsidR="001952EC">
        <w:t>obre los recursos federales que reciben</w:t>
      </w:r>
      <w:r>
        <w:t xml:space="preserve"> </w:t>
      </w:r>
      <w:r w:rsidR="006D3AE1">
        <w:t>s</w:t>
      </w:r>
      <w:r w:rsidR="00BF71DA">
        <w:t xml:space="preserve">e calcula </w:t>
      </w:r>
      <w:r w:rsidR="00B61398">
        <w:t xml:space="preserve">la </w:t>
      </w:r>
      <w:r w:rsidR="001952EC">
        <w:t>media nacional</w:t>
      </w:r>
      <w:r w:rsidR="00B61398">
        <w:t xml:space="preserve"> de los índices de calidad </w:t>
      </w:r>
      <w:r w:rsidR="001952EC">
        <w:t>de cada entidad federativa.</w:t>
      </w:r>
    </w:p>
    <w:p w:rsidR="00C703FF" w:rsidRDefault="000A5185" w:rsidP="00FB26EA">
      <w:pPr>
        <w:pStyle w:val="Ttulo3"/>
        <w:spacing w:after="0"/>
      </w:pPr>
      <w:bookmarkStart w:id="4" w:name="_Toc500163665"/>
      <w:r>
        <w:t>Método de cálculo</w:t>
      </w:r>
      <w:r w:rsidR="00CF1D6E">
        <w:t xml:space="preserve"> nacional</w:t>
      </w:r>
      <w:r w:rsidR="00B02BF0">
        <w:rPr>
          <w:rStyle w:val="Refdenotaalpie"/>
        </w:rPr>
        <w:footnoteReference w:id="7"/>
      </w:r>
      <w:bookmarkEnd w:id="4"/>
    </w:p>
    <w:p w:rsidR="00FB26EA" w:rsidRPr="00FB26EA" w:rsidRDefault="00FB26EA" w:rsidP="00FB26EA">
      <w:pPr>
        <w:spacing w:after="0"/>
        <w:rPr>
          <w:lang w:eastAsia="zh-TW"/>
        </w:rPr>
      </w:pPr>
      <w:r>
        <w:rPr>
          <w:noProof/>
        </w:rPr>
        <mc:AlternateContent>
          <mc:Choice Requires="wps">
            <w:drawing>
              <wp:anchor distT="0" distB="0" distL="114300" distR="114300" simplePos="0" relativeHeight="251659264" behindDoc="0" locked="0" layoutInCell="1" allowOverlap="1" wp14:anchorId="50149065" wp14:editId="3FF44364">
                <wp:simplePos x="0" y="0"/>
                <wp:positionH relativeFrom="column">
                  <wp:posOffset>104140</wp:posOffset>
                </wp:positionH>
                <wp:positionV relativeFrom="paragraph">
                  <wp:posOffset>157759</wp:posOffset>
                </wp:positionV>
                <wp:extent cx="5614670" cy="548640"/>
                <wp:effectExtent l="0" t="0" r="24130" b="22860"/>
                <wp:wrapNone/>
                <wp:docPr id="1" name="1 Rectángulo"/>
                <wp:cNvGraphicFramePr/>
                <a:graphic xmlns:a="http://schemas.openxmlformats.org/drawingml/2006/main">
                  <a:graphicData uri="http://schemas.microsoft.com/office/word/2010/wordprocessingShape">
                    <wps:wsp>
                      <wps:cNvSpPr/>
                      <wps:spPr>
                        <a:xfrm>
                          <a:off x="0" y="0"/>
                          <a:ext cx="5614670" cy="548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E2D1A" id="1 Rectángulo" o:spid="_x0000_s1026" style="position:absolute;margin-left:8.2pt;margin-top:12.4pt;width:442.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" filled="f" strokecolor="black [3213]"/>
            </w:pict>
          </mc:Fallback>
        </mc:AlternateContent>
      </w:r>
    </w:p>
    <w:p w:rsidR="00311113" w:rsidRPr="00460C96" w:rsidRDefault="00B05230" w:rsidP="00852D19">
      <w:pPr>
        <w:rPr>
          <w:rFonts w:ascii="Soberana Sans Light" w:hAnsi="Soberana Sans Light"/>
          <w:b/>
        </w:rPr>
      </w:pPr>
      <m:oMathPara>
        <m:oMath>
          <m:r>
            <m:rPr>
              <m:sty m:val="bi"/>
            </m:rPr>
            <w:rPr>
              <w:rFonts w:ascii="Cambria Math" w:hAnsi="Cambria Math"/>
            </w:rPr>
            <m:t>μ</m:t>
          </m:r>
          <m:d>
            <m:dPr>
              <m:ctrlPr>
                <w:rPr>
                  <w:rFonts w:ascii="Cambria Math" w:hAnsi="Cambria Math"/>
                  <w:b/>
                </w:rPr>
              </m:ctrlPr>
            </m:dPr>
            <m:e>
              <m:r>
                <m:rPr>
                  <m:sty m:val="bi"/>
                </m:rPr>
                <w:rPr>
                  <w:rFonts w:ascii="Cambria Math" w:hAnsi="Cambria Math"/>
                </w:rPr>
                <m:t>icr</m:t>
              </m:r>
            </m:e>
          </m:d>
          <m:r>
            <m:rPr>
              <m:sty m:val="b"/>
            </m:rPr>
            <w:rPr>
              <w:rFonts w:ascii="Cambria Math" w:hAnsi="Cambria Math"/>
            </w:rPr>
            <m:t>=</m:t>
          </m:r>
          <m:f>
            <m:fPr>
              <m:ctrlPr>
                <w:rPr>
                  <w:rFonts w:ascii="Cambria Math" w:hAnsi="Cambria Math"/>
                  <w:iCs/>
                </w:rPr>
              </m:ctrlPr>
            </m:fPr>
            <m:num>
              <m:nary>
                <m:naryPr>
                  <m:chr m:val="∑"/>
                  <m:ctrlPr>
                    <w:rPr>
                      <w:rFonts w:ascii="Cambria Math" w:hAnsi="Cambria Math"/>
                      <w:iCs/>
                    </w:rPr>
                  </m:ctrlPr>
                </m:naryPr>
                <m:sub>
                  <m:r>
                    <w:rPr>
                      <w:rFonts w:ascii="Cambria Math" w:hAnsi="Cambria Math"/>
                    </w:rPr>
                    <m:t>i</m:t>
                  </m:r>
                  <m:r>
                    <m:rPr>
                      <m:sty m:val="p"/>
                    </m:rPr>
                    <w:rPr>
                      <w:rFonts w:ascii="Cambria Math" w:hAnsi="Cambria Math"/>
                    </w:rPr>
                    <m:t>=1</m:t>
                  </m:r>
                </m:sub>
                <m:sup>
                  <m:r>
                    <m:rPr>
                      <m:sty m:val="p"/>
                    </m:rPr>
                    <w:rPr>
                      <w:rFonts w:ascii="Cambria Math" w:hAnsi="Cambria Math"/>
                    </w:rPr>
                    <m:t>32</m:t>
                  </m:r>
                </m:sup>
                <m:e>
                  <m:sSub>
                    <m:sSubPr>
                      <m:ctrlPr>
                        <w:rPr>
                          <w:rFonts w:ascii="Cambria Math" w:hAnsi="Cambria Math"/>
                        </w:rPr>
                      </m:ctrlPr>
                    </m:sSubPr>
                    <m:e>
                      <m:r>
                        <m:rPr>
                          <m:sty m:val="bi"/>
                        </m:rPr>
                        <w:rPr>
                          <w:rFonts w:ascii="Cambria Math" w:hAnsi="Cambria Math"/>
                        </w:rPr>
                        <m:t>icr</m:t>
                      </m:r>
                    </m:e>
                    <m:sub>
                      <m:r>
                        <w:rPr>
                          <w:rFonts w:ascii="Cambria Math" w:hAnsi="Cambria Math"/>
                        </w:rPr>
                        <m:t>ef</m:t>
                      </m:r>
                    </m:sub>
                  </m:sSub>
                </m:e>
              </m:nary>
            </m:num>
            <m:den>
              <m:r>
                <m:rPr>
                  <m:sty m:val="p"/>
                </m:rPr>
                <w:rPr>
                  <w:rFonts w:ascii="Cambria Math" w:hAnsi="Cambria Math"/>
                </w:rPr>
                <m:t>32</m:t>
              </m:r>
            </m:den>
          </m:f>
          <m:r>
            <m:rPr>
              <m:sty m:val="b"/>
            </m:rPr>
            <w:rPr>
              <w:rFonts w:ascii="Cambria Math" w:hAnsi="Cambria Math"/>
            </w:rPr>
            <m:t xml:space="preserve"> </m:t>
          </m:r>
        </m:oMath>
      </m:oMathPara>
    </w:p>
    <w:p w:rsidR="00BF71DA" w:rsidRPr="008E29B5" w:rsidRDefault="00BF71DA" w:rsidP="00852D19">
      <w:pPr>
        <w:rPr>
          <w:sz w:val="6"/>
          <w:szCs w:val="6"/>
        </w:rPr>
      </w:pPr>
    </w:p>
    <w:p w:rsidR="003246BA" w:rsidRPr="00063E75" w:rsidRDefault="003246BA" w:rsidP="00852D19">
      <w:r w:rsidRPr="00063E75">
        <w:t>Donde:</w:t>
      </w:r>
    </w:p>
    <w:p w:rsidR="00311113" w:rsidRDefault="001952EC" w:rsidP="008E29B5">
      <w:pPr>
        <w:spacing w:after="0"/>
        <w:ind w:left="1418" w:hanging="1418"/>
        <w:rPr>
          <w:rFonts w:ascii="Soberana Sans Light" w:hAnsi="Soberana Sans Light"/>
        </w:rPr>
      </w:pPr>
      <m:oMath>
        <m:r>
          <m:rPr>
            <m:sty m:val="bi"/>
          </m:rPr>
          <w:rPr>
            <w:rFonts w:ascii="Cambria Math" w:hAnsi="Cambria Math"/>
          </w:rPr>
          <m:t>μ</m:t>
        </m:r>
      </m:oMath>
      <w:r w:rsidR="00011102" w:rsidRPr="001952EC">
        <w:rPr>
          <w:b/>
        </w:rPr>
        <w:t>(</w:t>
      </w:r>
      <w:r w:rsidR="003246BA" w:rsidRPr="001952EC">
        <w:rPr>
          <w:b/>
        </w:rPr>
        <w:t>icr</w:t>
      </w:r>
      <w:r w:rsidR="00011102" w:rsidRPr="001952EC">
        <w:rPr>
          <w:b/>
        </w:rPr>
        <w:t>)</w:t>
      </w:r>
      <w:r w:rsidR="000A6825">
        <w:rPr>
          <w:b/>
        </w:rPr>
        <w:tab/>
      </w:r>
      <w:r w:rsidR="003246BA" w:rsidRPr="000A6825">
        <w:rPr>
          <w:rFonts w:ascii="Soberana Sans Light" w:hAnsi="Soberana Sans Light"/>
        </w:rPr>
        <w:t>Media nacional del índice de calidad en la información reportada sobre recursos federales transferidos</w:t>
      </w:r>
      <w:r w:rsidR="007B27C1">
        <w:rPr>
          <w:rFonts w:ascii="Soberana Sans Light" w:hAnsi="Soberana Sans Light"/>
        </w:rPr>
        <w:t xml:space="preserve"> a la entidad federativa</w:t>
      </w:r>
    </w:p>
    <w:p w:rsidR="008E29B5" w:rsidRDefault="008E29B5" w:rsidP="008E29B5">
      <w:pPr>
        <w:spacing w:after="0"/>
        <w:ind w:left="1418" w:hanging="1418"/>
      </w:pPr>
    </w:p>
    <w:p w:rsidR="000E60AC" w:rsidRPr="000E60AC" w:rsidRDefault="008E29B5" w:rsidP="00FF503D">
      <w:pPr>
        <w:pStyle w:val="Ttulo3"/>
      </w:pPr>
      <w:bookmarkStart w:id="5" w:name="_Toc500163666"/>
      <w:r>
        <w:t>Rango y sentido del indicador</w:t>
      </w:r>
      <w:r w:rsidR="00B02BF0">
        <w:rPr>
          <w:rStyle w:val="Refdenotaalpie"/>
        </w:rPr>
        <w:footnoteReference w:id="8"/>
      </w:r>
      <w:bookmarkEnd w:id="5"/>
    </w:p>
    <w:p w:rsidR="008E29B5" w:rsidRDefault="009B47D9" w:rsidP="008E29B5">
      <w:pPr>
        <w:rPr>
          <w:b/>
          <w:lang w:eastAsia="zh-TW"/>
        </w:rPr>
      </w:pPr>
      <w:r>
        <w:rPr>
          <w:lang w:eastAsia="zh-TW"/>
        </w:rPr>
        <w:t>E</w:t>
      </w:r>
      <w:r w:rsidR="008E29B5">
        <w:rPr>
          <w:lang w:eastAsia="zh-TW"/>
        </w:rPr>
        <w:t xml:space="preserve">l sentido del indicador es </w:t>
      </w:r>
      <w:r w:rsidR="00B46018">
        <w:rPr>
          <w:lang w:eastAsia="zh-TW"/>
        </w:rPr>
        <w:t>ascendente</w:t>
      </w:r>
      <w:r w:rsidR="008E29B5">
        <w:rPr>
          <w:lang w:eastAsia="zh-TW"/>
        </w:rPr>
        <w:t xml:space="preserve">. </w:t>
      </w:r>
      <w:r w:rsidR="008E29B5" w:rsidRPr="00D3059C">
        <w:rPr>
          <w:b/>
          <w:lang w:eastAsia="zh-TW"/>
        </w:rPr>
        <w:t xml:space="preserve">Su rango va de 0 a 1, en donde </w:t>
      </w:r>
      <w:r w:rsidR="007B27C1">
        <w:rPr>
          <w:b/>
          <w:lang w:eastAsia="zh-TW"/>
        </w:rPr>
        <w:t xml:space="preserve">un </w:t>
      </w:r>
      <w:r w:rsidR="008E29B5" w:rsidRPr="00D3059C">
        <w:rPr>
          <w:b/>
          <w:lang w:eastAsia="zh-TW"/>
        </w:rPr>
        <w:t>valor</w:t>
      </w:r>
      <w:r w:rsidR="007B27C1">
        <w:rPr>
          <w:b/>
          <w:lang w:eastAsia="zh-TW"/>
        </w:rPr>
        <w:t xml:space="preserve"> más próximo</w:t>
      </w:r>
      <w:r w:rsidR="008E29B5" w:rsidRPr="00D3059C">
        <w:rPr>
          <w:b/>
          <w:lang w:eastAsia="zh-TW"/>
        </w:rPr>
        <w:t xml:space="preserve"> </w:t>
      </w:r>
      <w:r w:rsidR="007B27C1">
        <w:rPr>
          <w:b/>
          <w:lang w:eastAsia="zh-TW"/>
        </w:rPr>
        <w:t xml:space="preserve">a uno </w:t>
      </w:r>
      <w:r w:rsidR="008E29B5" w:rsidRPr="00D3059C">
        <w:rPr>
          <w:b/>
          <w:lang w:eastAsia="zh-TW"/>
        </w:rPr>
        <w:t xml:space="preserve">refleja </w:t>
      </w:r>
      <w:r w:rsidR="00A579C9">
        <w:rPr>
          <w:b/>
          <w:lang w:eastAsia="zh-TW"/>
        </w:rPr>
        <w:t xml:space="preserve">una </w:t>
      </w:r>
      <w:r w:rsidR="008E29B5" w:rsidRPr="00D3059C">
        <w:rPr>
          <w:b/>
          <w:lang w:eastAsia="zh-TW"/>
        </w:rPr>
        <w:t>mayor calidad en la información reportada.</w:t>
      </w:r>
    </w:p>
    <w:p w:rsidR="008E29B5" w:rsidRDefault="0095659F" w:rsidP="008E29B5">
      <w:pPr>
        <w:spacing w:after="0"/>
        <w:rPr>
          <w:lang w:eastAsia="zh-TW"/>
        </w:rPr>
      </w:pPr>
      <w:r>
        <w:rPr>
          <w:lang w:eastAsia="zh-TW"/>
        </w:rPr>
        <w:t>Al respecto destaca que, además de que</w:t>
      </w:r>
      <w:r w:rsidR="008E29B5">
        <w:rPr>
          <w:lang w:eastAsia="zh-TW"/>
        </w:rPr>
        <w:t xml:space="preserve"> el índice permite realizar una valoración agregada por entidad federativa o nacional sobre la calidad de la información reportada, cada una de sus variables </w:t>
      </w:r>
      <w:r w:rsidR="00B46018">
        <w:rPr>
          <w:lang w:eastAsia="zh-TW"/>
        </w:rPr>
        <w:t xml:space="preserve">proporciona información relevante para </w:t>
      </w:r>
      <w:r w:rsidR="008E29B5">
        <w:rPr>
          <w:lang w:eastAsia="zh-TW"/>
        </w:rPr>
        <w:t xml:space="preserve">conocer de forma detallada aspectos </w:t>
      </w:r>
      <w:r w:rsidR="00B46018">
        <w:rPr>
          <w:lang w:eastAsia="zh-TW"/>
        </w:rPr>
        <w:t xml:space="preserve">específicos </w:t>
      </w:r>
      <w:r w:rsidR="008E29B5">
        <w:rPr>
          <w:lang w:eastAsia="zh-TW"/>
        </w:rPr>
        <w:t xml:space="preserve">de los informes que </w:t>
      </w:r>
      <w:r w:rsidR="00F76FBE">
        <w:rPr>
          <w:lang w:eastAsia="zh-TW"/>
        </w:rPr>
        <w:t xml:space="preserve">requieren mejorar la </w:t>
      </w:r>
      <w:r w:rsidR="00B46018">
        <w:rPr>
          <w:lang w:eastAsia="zh-TW"/>
        </w:rPr>
        <w:t xml:space="preserve">calidad en </w:t>
      </w:r>
      <w:r w:rsidR="00F76FBE">
        <w:rPr>
          <w:lang w:eastAsia="zh-TW"/>
        </w:rPr>
        <w:t xml:space="preserve">su </w:t>
      </w:r>
      <w:r w:rsidR="00B46018">
        <w:rPr>
          <w:lang w:eastAsia="zh-TW"/>
        </w:rPr>
        <w:t>información para evaluar el desempeño de los recursos federales transferidos.</w:t>
      </w:r>
    </w:p>
    <w:p w:rsidR="0083538A" w:rsidRDefault="0083538A">
      <w:pPr>
        <w:jc w:val="left"/>
        <w:rPr>
          <w:lang w:eastAsia="zh-TW"/>
        </w:rPr>
      </w:pPr>
      <w:r>
        <w:rPr>
          <w:lang w:eastAsia="zh-TW"/>
        </w:rPr>
        <w:br w:type="page"/>
      </w:r>
    </w:p>
    <w:p w:rsidR="008E4728" w:rsidRPr="008E4728" w:rsidRDefault="008E4728" w:rsidP="00852D19">
      <w:pPr>
        <w:pStyle w:val="Ttulo2"/>
      </w:pPr>
      <w:bookmarkStart w:id="6" w:name="_Toc411596141"/>
      <w:bookmarkStart w:id="7" w:name="_Toc500163667"/>
      <w:bookmarkEnd w:id="6"/>
      <w:r w:rsidRPr="008E4728">
        <w:lastRenderedPageBreak/>
        <w:t>Valoración por entidad federativa</w:t>
      </w:r>
      <w:bookmarkEnd w:id="7"/>
    </w:p>
    <w:p w:rsidR="001F3C9F" w:rsidRDefault="001F3C9F" w:rsidP="001F3C9F">
      <w:r w:rsidRPr="00011102">
        <w:t xml:space="preserve">El </w:t>
      </w:r>
      <w:r>
        <w:t>agregado nacional se obtiene a partir del cálculo</w:t>
      </w:r>
      <w:r w:rsidR="008B122E">
        <w:t xml:space="preserve"> de un índice individual</w:t>
      </w:r>
      <w:r>
        <w:t xml:space="preserve"> por entidad federativa</w:t>
      </w:r>
      <w:r w:rsidR="008B122E">
        <w:t>, el cual</w:t>
      </w:r>
      <w:r>
        <w:t xml:space="preserve"> considera tres variables que permiten valorar de igual manera los componentes de los informes que deben presentar los Gobiernos Locales: </w:t>
      </w:r>
    </w:p>
    <w:p w:rsidR="001F3C9F" w:rsidRDefault="001F3C9F" w:rsidP="00166D0E">
      <w:pPr>
        <w:pStyle w:val="Prrafodelista"/>
        <w:numPr>
          <w:ilvl w:val="0"/>
          <w:numId w:val="10"/>
        </w:numPr>
      </w:pPr>
      <w:r>
        <w:t>Avance Financiero</w:t>
      </w:r>
    </w:p>
    <w:p w:rsidR="001F3C9F" w:rsidRDefault="001F3C9F" w:rsidP="00166D0E">
      <w:pPr>
        <w:pStyle w:val="Prrafodelista"/>
        <w:numPr>
          <w:ilvl w:val="0"/>
          <w:numId w:val="10"/>
        </w:numPr>
      </w:pPr>
      <w:r>
        <w:t xml:space="preserve">Indicadores </w:t>
      </w:r>
    </w:p>
    <w:p w:rsidR="001F3C9F" w:rsidRDefault="001F3C9F" w:rsidP="00166D0E">
      <w:pPr>
        <w:pStyle w:val="Prrafodelista"/>
        <w:numPr>
          <w:ilvl w:val="0"/>
          <w:numId w:val="10"/>
        </w:numPr>
      </w:pPr>
      <w:r>
        <w:t>Gestión de Programas y Proyectos de Inversión</w:t>
      </w:r>
      <w:r w:rsidR="00CF1D6E">
        <w:rPr>
          <w:rStyle w:val="Refdenotaalpie"/>
        </w:rPr>
        <w:footnoteReference w:id="9"/>
      </w:r>
      <w:r>
        <w:t xml:space="preserve">. </w:t>
      </w:r>
    </w:p>
    <w:p w:rsidR="001F3C9F" w:rsidRDefault="001F3C9F" w:rsidP="001F3C9F">
      <w:r>
        <w:t>Se excluye el componente de Evaluaciones, al ser responsabilidad de cada ente público la definición de las prioridades de evaluación</w:t>
      </w:r>
      <w:r w:rsidR="00B02BF0">
        <w:rPr>
          <w:rStyle w:val="Refdenotaalpie"/>
        </w:rPr>
        <w:footnoteReference w:id="10"/>
      </w:r>
      <w:r>
        <w:t xml:space="preserve">. </w:t>
      </w:r>
    </w:p>
    <w:p w:rsidR="0088299A" w:rsidRDefault="00C703FF" w:rsidP="000A6825">
      <w:pPr>
        <w:pStyle w:val="Ttulo3"/>
        <w:spacing w:after="0"/>
      </w:pPr>
      <w:bookmarkStart w:id="8" w:name="_Toc500163668"/>
      <w:r>
        <w:t>Método de Cálculo</w:t>
      </w:r>
      <w:r w:rsidR="00B02BF0">
        <w:t xml:space="preserve"> por entidad federativa</w:t>
      </w:r>
      <w:bookmarkEnd w:id="8"/>
    </w:p>
    <w:p w:rsidR="000A6825" w:rsidRPr="000A6825" w:rsidRDefault="00FB26EA" w:rsidP="000A6825">
      <w:pPr>
        <w:rPr>
          <w:lang w:eastAsia="zh-TW"/>
        </w:rPr>
      </w:pPr>
      <w:r>
        <w:rPr>
          <w:noProof/>
        </w:rPr>
        <mc:AlternateContent>
          <mc:Choice Requires="wps">
            <w:drawing>
              <wp:anchor distT="0" distB="0" distL="114300" distR="114300" simplePos="0" relativeHeight="251661312" behindDoc="0" locked="0" layoutInCell="1" allowOverlap="1" wp14:anchorId="442091E1" wp14:editId="308936F0">
                <wp:simplePos x="0" y="0"/>
                <wp:positionH relativeFrom="column">
                  <wp:posOffset>1905</wp:posOffset>
                </wp:positionH>
                <wp:positionV relativeFrom="paragraph">
                  <wp:posOffset>167335</wp:posOffset>
                </wp:positionV>
                <wp:extent cx="5614670" cy="629107"/>
                <wp:effectExtent l="0" t="0" r="24130" b="19050"/>
                <wp:wrapNone/>
                <wp:docPr id="9" name="9 Rectángulo"/>
                <wp:cNvGraphicFramePr/>
                <a:graphic xmlns:a="http://schemas.openxmlformats.org/drawingml/2006/main">
                  <a:graphicData uri="http://schemas.microsoft.com/office/word/2010/wordprocessingShape">
                    <wps:wsp>
                      <wps:cNvSpPr/>
                      <wps:spPr>
                        <a:xfrm>
                          <a:off x="0" y="0"/>
                          <a:ext cx="5614670" cy="6291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A18C" id="9 Rectángulo" o:spid="_x0000_s1026" style="position:absolute;margin-left:.15pt;margin-top:13.2pt;width:442.1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" filled="f" strokecolor="black [3213]"/>
            </w:pict>
          </mc:Fallback>
        </mc:AlternateContent>
      </w:r>
    </w:p>
    <w:p w:rsidR="0074627F" w:rsidRDefault="000E7B58" w:rsidP="000A6825">
      <w:pPr>
        <w:spacing w:after="0"/>
      </w:pPr>
      <m:oMathPara>
        <m:oMath>
          <m:sSub>
            <m:sSubPr>
              <m:ctrlPr>
                <w:rPr>
                  <w:rFonts w:ascii="Cambria Math" w:hAnsi="Cambria Math"/>
                </w:rPr>
              </m:ctrlPr>
            </m:sSubPr>
            <m:e>
              <m:r>
                <m:rPr>
                  <m:sty m:val="bi"/>
                </m:rPr>
                <w:rPr>
                  <w:rFonts w:ascii="Cambria Math" w:hAnsi="Cambria Math"/>
                </w:rPr>
                <m:t>icr</m:t>
              </m:r>
            </m:e>
            <m:sub>
              <m:r>
                <w:rPr>
                  <w:rFonts w:ascii="Cambria Math" w:hAnsi="Cambria Math"/>
                </w:rPr>
                <m:t>ef</m:t>
              </m:r>
            </m:sub>
          </m:sSub>
          <m:r>
            <w:rPr>
              <w:rFonts w:ascii="Cambria Math" w:hAnsi="Cambria Math"/>
              <w:sz w:val="28"/>
            </w:rPr>
            <m:t>=</m:t>
          </m:r>
          <m:f>
            <m:fPr>
              <m:type m:val="skw"/>
              <m:ctrlPr>
                <w:rPr>
                  <w:rFonts w:ascii="Cambria Math" w:eastAsiaTheme="majorEastAsia" w:hAnsi="Cambria Math" w:cstheme="majorBidi"/>
                  <w:i/>
                  <w:iCs/>
                  <w:sz w:val="28"/>
                  <w:lang w:eastAsia="en-US" w:bidi="en-US"/>
                </w:rPr>
              </m:ctrlPr>
            </m:fPr>
            <m:num>
              <m:r>
                <w:rPr>
                  <w:rFonts w:ascii="Cambria Math" w:hAnsi="Cambria Math"/>
                  <w:sz w:val="28"/>
                </w:rPr>
                <m:t>1</m:t>
              </m:r>
            </m:num>
            <m:den>
              <m:r>
                <w:rPr>
                  <w:rFonts w:ascii="Cambria Math" w:hAnsi="Cambria Math"/>
                  <w:sz w:val="28"/>
                </w:rPr>
                <m:t xml:space="preserve">3 </m:t>
              </m:r>
            </m:den>
          </m:f>
          <m:d>
            <m:dPr>
              <m:begChr m:val="["/>
              <m:endChr m:val="]"/>
              <m:ctrlPr>
                <w:rPr>
                  <w:rFonts w:ascii="Cambria Math" w:eastAsiaTheme="majorEastAsia" w:hAnsi="Cambria Math" w:cstheme="majorBidi"/>
                  <w:i/>
                  <w:iCs/>
                  <w:sz w:val="28"/>
                  <w:lang w:eastAsia="en-US" w:bidi="en-US"/>
                </w:rPr>
              </m:ctrlPr>
            </m:dPr>
            <m:e>
              <m:d>
                <m:dPr>
                  <m:ctrlPr>
                    <w:rPr>
                      <w:rFonts w:ascii="Cambria Math" w:eastAsiaTheme="majorEastAsia" w:hAnsi="Cambria Math" w:cstheme="majorBidi"/>
                      <w:i/>
                      <w:iCs/>
                      <w:sz w:val="28"/>
                      <w:lang w:eastAsia="en-US" w:bidi="en-US"/>
                    </w:rPr>
                  </m:ctrlPr>
                </m:dPr>
                <m:e>
                  <m:r>
                    <w:rPr>
                      <w:rFonts w:ascii="Cambria Math" w:hAnsi="Cambria Math"/>
                      <w:sz w:val="28"/>
                    </w:rPr>
                    <m:t>1-</m:t>
                  </m:r>
                  <m:r>
                    <m:rPr>
                      <m:sty m:val="b"/>
                    </m:rPr>
                    <w:rPr>
                      <w:rFonts w:ascii="Cambria Math" w:hAnsi="Cambria Math"/>
                    </w:rPr>
                    <m:t>AF</m:t>
                  </m:r>
                </m:e>
              </m:d>
              <m:r>
                <w:rPr>
                  <w:rFonts w:ascii="Cambria Math" w:hAnsi="Cambria Math"/>
                  <w:sz w:val="28"/>
                </w:rPr>
                <m:t>+</m:t>
              </m:r>
              <m:d>
                <m:dPr>
                  <m:ctrlPr>
                    <w:rPr>
                      <w:rFonts w:ascii="Cambria Math" w:eastAsiaTheme="majorEastAsia" w:hAnsi="Cambria Math" w:cstheme="majorBidi"/>
                      <w:i/>
                      <w:iCs/>
                      <w:sz w:val="28"/>
                      <w:lang w:eastAsia="en-US" w:bidi="en-US"/>
                    </w:rPr>
                  </m:ctrlPr>
                </m:dPr>
                <m:e>
                  <m:r>
                    <w:rPr>
                      <w:rFonts w:ascii="Cambria Math" w:hAnsi="Cambria Math"/>
                      <w:sz w:val="28"/>
                    </w:rPr>
                    <m:t>1-</m:t>
                  </m:r>
                  <m:r>
                    <m:rPr>
                      <m:sty m:val="b"/>
                    </m:rPr>
                    <w:rPr>
                      <w:rFonts w:ascii="Cambria Math" w:hAnsi="Cambria Math"/>
                    </w:rPr>
                    <m:t>I</m:t>
                  </m:r>
                </m:e>
              </m:d>
              <m:r>
                <w:rPr>
                  <w:rFonts w:ascii="Cambria Math" w:hAnsi="Cambria Math"/>
                  <w:sz w:val="28"/>
                </w:rPr>
                <m:t>+(1-</m:t>
              </m:r>
              <m:r>
                <m:rPr>
                  <m:sty m:val="b"/>
                </m:rPr>
                <w:rPr>
                  <w:rFonts w:ascii="Cambria Math" w:hAnsi="Cambria Math"/>
                </w:rPr>
                <m:t>GPP</m:t>
              </m:r>
              <m:r>
                <m:rPr>
                  <m:sty m:val="p"/>
                </m:rPr>
                <w:rPr>
                  <w:rFonts w:ascii="Cambria Math" w:hAnsi="Cambria Math" w:cs="Cambria Math"/>
                  <w:sz w:val="28"/>
                </w:rPr>
                <m:t>)</m:t>
              </m:r>
            </m:e>
          </m:d>
        </m:oMath>
      </m:oMathPara>
    </w:p>
    <w:p w:rsidR="00F47174" w:rsidRPr="00F47174" w:rsidRDefault="00F47174" w:rsidP="00852D19">
      <w:pPr>
        <w:rPr>
          <w:sz w:val="10"/>
        </w:rPr>
      </w:pPr>
    </w:p>
    <w:p w:rsidR="0074627F" w:rsidRDefault="0074627F" w:rsidP="00852D19">
      <w:r>
        <w:t>D</w:t>
      </w:r>
      <w:r w:rsidRPr="002C6357">
        <w:t>onde</w:t>
      </w:r>
      <w:r w:rsidRPr="00CA529E">
        <w:t xml:space="preserve">: </w:t>
      </w:r>
    </w:p>
    <w:p w:rsidR="003246BA" w:rsidRPr="008E29B5" w:rsidRDefault="000E7B58" w:rsidP="008E29B5">
      <w:pPr>
        <w:spacing w:line="240" w:lineRule="auto"/>
        <w:ind w:left="2127" w:hanging="2127"/>
        <w:rPr>
          <w:rFonts w:ascii="Soberana Sans Light" w:hAnsi="Soberana Sans Light"/>
        </w:rPr>
      </w:pPr>
      <m:oMath>
        <m:sSub>
          <m:sSubPr>
            <m:ctrlPr>
              <w:rPr>
                <w:rFonts w:ascii="Cambria Math" w:hAnsi="Cambria Math"/>
              </w:rPr>
            </m:ctrlPr>
          </m:sSubPr>
          <m:e>
            <m:r>
              <m:rPr>
                <m:sty m:val="bi"/>
              </m:rPr>
              <w:rPr>
                <w:rFonts w:ascii="Cambria Math" w:hAnsi="Cambria Math"/>
              </w:rPr>
              <m:t>icr</m:t>
            </m:r>
          </m:e>
          <m:sub>
            <m:r>
              <w:rPr>
                <w:rFonts w:ascii="Cambria Math" w:hAnsi="Cambria Math"/>
              </w:rPr>
              <m:t>ef</m:t>
            </m:r>
          </m:sub>
        </m:sSub>
      </m:oMath>
      <w:r w:rsidR="001E0D97">
        <w:rPr>
          <w:b/>
        </w:rPr>
        <w:t>:</w:t>
      </w:r>
      <w:r w:rsidR="001E0D97">
        <w:rPr>
          <w:b/>
        </w:rPr>
        <w:tab/>
      </w:r>
      <w:r w:rsidR="0074627F" w:rsidRPr="008E29B5">
        <w:rPr>
          <w:rFonts w:ascii="Soberana Sans Light" w:hAnsi="Soberana Sans Light"/>
        </w:rPr>
        <w:t>Í</w:t>
      </w:r>
      <w:r w:rsidR="003246BA" w:rsidRPr="008E29B5">
        <w:rPr>
          <w:rFonts w:ascii="Soberana Sans Light" w:hAnsi="Soberana Sans Light"/>
        </w:rPr>
        <w:t>ndice de calidad en la información reportada por entidad federativa</w:t>
      </w:r>
    </w:p>
    <w:p w:rsidR="003246BA" w:rsidRPr="003246BA" w:rsidRDefault="0074627F" w:rsidP="008E29B5">
      <w:pPr>
        <w:spacing w:line="240" w:lineRule="auto"/>
        <w:ind w:left="2127" w:hanging="2127"/>
      </w:pPr>
      <w:r w:rsidRPr="001E0D97">
        <w:rPr>
          <w:b/>
        </w:rPr>
        <w:t>AF</w:t>
      </w:r>
      <w:r w:rsidR="001E0D97">
        <w:rPr>
          <w:b/>
        </w:rPr>
        <w:t>:</w:t>
      </w:r>
      <w:r w:rsidR="001E0D97">
        <w:tab/>
      </w:r>
      <w:r w:rsidR="00043DFE">
        <w:rPr>
          <w:rFonts w:ascii="Soberana Sans Light" w:hAnsi="Soberana Sans Light"/>
        </w:rPr>
        <w:t>Variable</w:t>
      </w:r>
      <w:r w:rsidR="00043DFE" w:rsidRPr="008E29B5">
        <w:rPr>
          <w:rFonts w:ascii="Soberana Sans Light" w:hAnsi="Soberana Sans Light"/>
        </w:rPr>
        <w:t xml:space="preserve"> </w:t>
      </w:r>
      <w:r w:rsidR="003246BA" w:rsidRPr="008E29B5">
        <w:rPr>
          <w:rFonts w:ascii="Soberana Sans Light" w:hAnsi="Soberana Sans Light"/>
        </w:rPr>
        <w:t>de Avance Financiero</w:t>
      </w:r>
      <w:r w:rsidRPr="008E29B5">
        <w:rPr>
          <w:rFonts w:ascii="Soberana Sans Light" w:hAnsi="Soberana Sans Light"/>
        </w:rPr>
        <w:t xml:space="preserve"> de los reportes que presentan trimestralmente </w:t>
      </w:r>
      <w:r w:rsidR="001F3C9F">
        <w:rPr>
          <w:rFonts w:ascii="Soberana Sans Light" w:hAnsi="Soberana Sans Light"/>
        </w:rPr>
        <w:t>los Gobiernos Locales</w:t>
      </w:r>
    </w:p>
    <w:p w:rsidR="003246BA" w:rsidRPr="003246BA" w:rsidRDefault="0074627F" w:rsidP="008E29B5">
      <w:pPr>
        <w:spacing w:line="240" w:lineRule="auto"/>
        <w:ind w:left="2127" w:hanging="2127"/>
      </w:pPr>
      <w:r w:rsidRPr="001E0D97">
        <w:rPr>
          <w:b/>
        </w:rPr>
        <w:t>I</w:t>
      </w:r>
      <w:r w:rsidR="001E0D97">
        <w:rPr>
          <w:b/>
        </w:rPr>
        <w:t>:</w:t>
      </w:r>
      <w:r>
        <w:tab/>
      </w:r>
      <w:r w:rsidR="00043DFE">
        <w:rPr>
          <w:rFonts w:ascii="Soberana Sans Light" w:hAnsi="Soberana Sans Light"/>
        </w:rPr>
        <w:t xml:space="preserve">Variable </w:t>
      </w:r>
      <w:r w:rsidR="003246BA" w:rsidRPr="008E29B5">
        <w:rPr>
          <w:rFonts w:ascii="Soberana Sans Light" w:hAnsi="Soberana Sans Light"/>
        </w:rPr>
        <w:t>de Indicadores</w:t>
      </w:r>
      <w:r w:rsidR="00CF1D6E">
        <w:rPr>
          <w:rStyle w:val="Refdenotaalpie"/>
          <w:rFonts w:ascii="Soberana Sans Light" w:hAnsi="Soberana Sans Light"/>
        </w:rPr>
        <w:footnoteReference w:id="11"/>
      </w:r>
      <w:r w:rsidR="001E0D97" w:rsidRPr="008E29B5">
        <w:rPr>
          <w:rFonts w:ascii="Soberana Sans Light" w:hAnsi="Soberana Sans Light"/>
        </w:rPr>
        <w:t xml:space="preserve"> de los reportes que presentan trimestralmente </w:t>
      </w:r>
      <w:r w:rsidR="001F3C9F">
        <w:rPr>
          <w:rFonts w:ascii="Soberana Sans Light" w:hAnsi="Soberana Sans Light"/>
        </w:rPr>
        <w:t>los Gobiernos Locales</w:t>
      </w:r>
    </w:p>
    <w:p w:rsidR="003246BA" w:rsidRDefault="001E0D97" w:rsidP="008E29B5">
      <w:pPr>
        <w:spacing w:line="240" w:lineRule="auto"/>
        <w:ind w:left="2127" w:hanging="2127"/>
      </w:pPr>
      <w:r w:rsidRPr="001E0D97">
        <w:rPr>
          <w:b/>
        </w:rPr>
        <w:lastRenderedPageBreak/>
        <w:t>GPP</w:t>
      </w:r>
      <w:r>
        <w:rPr>
          <w:b/>
        </w:rPr>
        <w:t>:</w:t>
      </w:r>
      <w:r>
        <w:tab/>
      </w:r>
      <w:r w:rsidR="00043DFE">
        <w:rPr>
          <w:rFonts w:ascii="Soberana Sans Light" w:hAnsi="Soberana Sans Light"/>
        </w:rPr>
        <w:t xml:space="preserve">Variable </w:t>
      </w:r>
      <w:r w:rsidR="003246BA" w:rsidRPr="008E29B5">
        <w:rPr>
          <w:rFonts w:ascii="Soberana Sans Light" w:hAnsi="Soberana Sans Light"/>
        </w:rPr>
        <w:t xml:space="preserve">de Gestión de Programas y Proyectos </w:t>
      </w:r>
      <w:r w:rsidRPr="008E29B5">
        <w:rPr>
          <w:rFonts w:ascii="Soberana Sans Light" w:hAnsi="Soberana Sans Light"/>
        </w:rPr>
        <w:t xml:space="preserve">de </w:t>
      </w:r>
      <w:r w:rsidR="003246BA" w:rsidRPr="008E29B5">
        <w:rPr>
          <w:rFonts w:ascii="Soberana Sans Light" w:hAnsi="Soberana Sans Light"/>
        </w:rPr>
        <w:t>Inversión</w:t>
      </w:r>
      <w:r w:rsidRPr="008E29B5">
        <w:rPr>
          <w:rFonts w:ascii="Soberana Sans Light" w:hAnsi="Soberana Sans Light"/>
        </w:rPr>
        <w:t xml:space="preserve"> de los reportes que presentan trimestralmente </w:t>
      </w:r>
      <w:r w:rsidR="001F3C9F">
        <w:rPr>
          <w:rFonts w:ascii="Soberana Sans Light" w:hAnsi="Soberana Sans Light"/>
        </w:rPr>
        <w:t>los Gobiernos Locales</w:t>
      </w:r>
    </w:p>
    <w:p w:rsidR="008E29B5" w:rsidRPr="001E0D97" w:rsidRDefault="008E29B5" w:rsidP="00852D19"/>
    <w:p w:rsidR="003070AA" w:rsidRDefault="003070AA" w:rsidP="00852D19">
      <w:pPr>
        <w:pStyle w:val="Ttulo3"/>
      </w:pPr>
      <w:bookmarkStart w:id="9" w:name="_Toc500163669"/>
      <w:r w:rsidRPr="009752B7">
        <w:t>Ponderación de variables</w:t>
      </w:r>
      <w:bookmarkEnd w:id="9"/>
      <w:r w:rsidRPr="009752B7">
        <w:t xml:space="preserve">      </w:t>
      </w:r>
    </w:p>
    <w:p w:rsidR="00851BF7" w:rsidRDefault="00851BF7" w:rsidP="00852D19">
      <w:r>
        <w:t xml:space="preserve">Dado que cada componente de los informes sobre gasto federalizado presenta </w:t>
      </w:r>
      <w:r w:rsidR="007D6B77">
        <w:t xml:space="preserve">información distinta para dar seguimiento al ejercicio, destino y resultados de las transferencias federales </w:t>
      </w:r>
      <w:r>
        <w:t xml:space="preserve">y, por tanto, permite obtener un detalle distinto sobre el desempeño de los recursos transferidos a los </w:t>
      </w:r>
      <w:r w:rsidR="00B93EC6">
        <w:t>G</w:t>
      </w:r>
      <w:r>
        <w:t xml:space="preserve">obiernos </w:t>
      </w:r>
      <w:r w:rsidR="00B93EC6">
        <w:t>L</w:t>
      </w:r>
      <w:r>
        <w:t>ocales</w:t>
      </w:r>
      <w:r w:rsidR="007A0D21">
        <w:t>,</w:t>
      </w:r>
      <w:r w:rsidR="007D6B77">
        <w:t xml:space="preserve"> </w:t>
      </w:r>
      <w:r w:rsidR="007A0D21">
        <w:t xml:space="preserve">el ponderador de cada variable es el mismo. </w:t>
      </w:r>
      <w:r w:rsidR="00D27BD2">
        <w:t>En consecuencia</w:t>
      </w:r>
      <w:r w:rsidR="007A0D21">
        <w:t xml:space="preserve">, al contar con tres variables, </w:t>
      </w:r>
      <w:r w:rsidR="007A0D21" w:rsidRPr="00787EF4">
        <w:rPr>
          <w:b/>
        </w:rPr>
        <w:t xml:space="preserve">la ponderación </w:t>
      </w:r>
      <w:r w:rsidR="00FF503D">
        <w:rPr>
          <w:b/>
        </w:rPr>
        <w:t>es</w:t>
      </w:r>
      <w:r w:rsidR="00FF503D" w:rsidRPr="00787EF4">
        <w:rPr>
          <w:b/>
        </w:rPr>
        <w:t xml:space="preserve"> </w:t>
      </w:r>
      <w:r w:rsidR="007A0D21" w:rsidRPr="00787EF4">
        <w:rPr>
          <w:b/>
        </w:rPr>
        <w:t xml:space="preserve">de </w:t>
      </w:r>
      <w:r w:rsidR="00AD4CEE">
        <w:rPr>
          <w:b/>
        </w:rPr>
        <w:t>1/3</w:t>
      </w:r>
      <w:r w:rsidR="00787EF4">
        <w:rPr>
          <w:b/>
        </w:rPr>
        <w:t xml:space="preserve"> para cada una</w:t>
      </w:r>
      <w:r w:rsidR="007A0D21" w:rsidRPr="00787EF4">
        <w:rPr>
          <w:b/>
        </w:rPr>
        <w:t>.</w:t>
      </w:r>
    </w:p>
    <w:p w:rsidR="001E0D97" w:rsidRPr="001E0D97" w:rsidRDefault="001E0D97" w:rsidP="00852D19">
      <w:pPr>
        <w:rPr>
          <w:lang w:eastAsia="zh-TW"/>
        </w:rPr>
      </w:pPr>
    </w:p>
    <w:p w:rsidR="008D46A4" w:rsidRDefault="008D46A4" w:rsidP="00852D19">
      <w:pPr>
        <w:pStyle w:val="Ttulo2"/>
        <w:rPr>
          <w:lang w:eastAsia="zh-TW"/>
        </w:rPr>
      </w:pPr>
      <w:bookmarkStart w:id="10" w:name="_Toc500163670"/>
      <w:r>
        <w:rPr>
          <w:lang w:eastAsia="zh-TW"/>
        </w:rPr>
        <w:t>Fuentes de información</w:t>
      </w:r>
      <w:bookmarkEnd w:id="10"/>
    </w:p>
    <w:p w:rsidR="00AD3D0B" w:rsidRPr="00AD3D0B" w:rsidRDefault="00AD3D0B" w:rsidP="00852D19">
      <w:pPr>
        <w:rPr>
          <w:lang w:eastAsia="zh-TW"/>
        </w:rPr>
      </w:pPr>
      <w:r>
        <w:rPr>
          <w:lang w:eastAsia="zh-TW"/>
        </w:rPr>
        <w:t xml:space="preserve">La información requerida para el cálculo de cada una de las variables y, por tanto, </w:t>
      </w:r>
      <w:r w:rsidR="00361E88">
        <w:rPr>
          <w:lang w:eastAsia="zh-TW"/>
        </w:rPr>
        <w:t xml:space="preserve">de los índices por entidad federativa y </w:t>
      </w:r>
      <w:r w:rsidR="00D27BD2">
        <w:rPr>
          <w:lang w:eastAsia="zh-TW"/>
        </w:rPr>
        <w:t xml:space="preserve">su </w:t>
      </w:r>
      <w:r w:rsidR="00361E88">
        <w:rPr>
          <w:lang w:eastAsia="zh-TW"/>
        </w:rPr>
        <w:t xml:space="preserve">respectiva media nacional, se obtiene por medio de los informes que realizan </w:t>
      </w:r>
      <w:r w:rsidR="001F3C9F">
        <w:rPr>
          <w:lang w:eastAsia="zh-TW"/>
        </w:rPr>
        <w:t>los Gobiernos Locales</w:t>
      </w:r>
      <w:r w:rsidR="00361E88">
        <w:rPr>
          <w:lang w:eastAsia="zh-TW"/>
        </w:rPr>
        <w:t xml:space="preserve"> </w:t>
      </w:r>
      <w:r w:rsidR="00D27BD2">
        <w:rPr>
          <w:lang w:eastAsia="zh-TW"/>
        </w:rPr>
        <w:t>a través</w:t>
      </w:r>
      <w:r w:rsidR="00361E88">
        <w:rPr>
          <w:lang w:eastAsia="zh-TW"/>
        </w:rPr>
        <w:t xml:space="preserve"> del SFU. Cabe aclarar que únicamente se considera la información que haya cumplido con el proceso de validación determinado por la SHCP en la normatividad correspondiente, es decir, toda aquella información que se haya reportado, revisado y validado durante los tiempos establecidos en los Lineamientos </w:t>
      </w:r>
      <w:r w:rsidR="00AB42C7">
        <w:rPr>
          <w:lang w:eastAsia="zh-TW"/>
        </w:rPr>
        <w:t>SFU.</w:t>
      </w:r>
    </w:p>
    <w:p w:rsidR="008E29B5" w:rsidRDefault="008E29B5">
      <w:pPr>
        <w:jc w:val="left"/>
      </w:pPr>
      <w:r>
        <w:br w:type="page"/>
      </w:r>
    </w:p>
    <w:p w:rsidR="003070AA" w:rsidRDefault="003070AA" w:rsidP="00852D19">
      <w:pPr>
        <w:pStyle w:val="Ttulo1"/>
      </w:pPr>
      <w:bookmarkStart w:id="11" w:name="_Toc500163671"/>
      <w:r>
        <w:lastRenderedPageBreak/>
        <w:t xml:space="preserve">III. </w:t>
      </w:r>
      <w:r w:rsidRPr="00642E51">
        <w:t>Criterios de Valoración para cada variable</w:t>
      </w:r>
      <w:bookmarkEnd w:id="11"/>
    </w:p>
    <w:p w:rsidR="008E4728" w:rsidRPr="008E4728" w:rsidRDefault="003269A9" w:rsidP="00852D19">
      <w:pPr>
        <w:pStyle w:val="Ttulo2"/>
      </w:pPr>
      <w:bookmarkStart w:id="12" w:name="_Toc500163672"/>
      <w:r>
        <w:rPr>
          <w:rFonts w:eastAsia="Times New Roman"/>
        </w:rPr>
        <w:t>Avance Financiero (AF)</w:t>
      </w:r>
      <w:bookmarkEnd w:id="12"/>
    </w:p>
    <w:p w:rsidR="003070AA" w:rsidRPr="008E4728" w:rsidRDefault="008E4728" w:rsidP="00852D19">
      <w:pPr>
        <w:pStyle w:val="Ttulo3"/>
      </w:pPr>
      <w:r w:rsidRPr="008E4728">
        <w:t xml:space="preserve"> </w:t>
      </w:r>
      <w:bookmarkStart w:id="13" w:name="_Toc500163673"/>
      <w:r w:rsidR="003070AA" w:rsidRPr="008E4728">
        <w:t>Definición</w:t>
      </w:r>
      <w:bookmarkEnd w:id="13"/>
    </w:p>
    <w:p w:rsidR="003070AA" w:rsidRDefault="00510893" w:rsidP="00852D19">
      <w:r>
        <w:t>Esta variable hace referencia a</w:t>
      </w:r>
      <w:r w:rsidR="006E321A">
        <w:t xml:space="preserve">l componente de Avance Financiero, a través del </w:t>
      </w:r>
      <w:r w:rsidR="001F3C9F">
        <w:t>cual los Gobiernos Locales</w:t>
      </w:r>
      <w:r w:rsidR="00043DFE">
        <w:t xml:space="preserve"> </w:t>
      </w:r>
      <w:r w:rsidR="006E321A">
        <w:t>reportan la totalidad de los recursos federales que les son transferidos mediante subsidio, convenio o Fondo de Aportaciones Federales</w:t>
      </w:r>
      <w:r w:rsidR="00CF1D6E">
        <w:rPr>
          <w:rStyle w:val="Refdenotaalpie"/>
        </w:rPr>
        <w:footnoteReference w:id="12"/>
      </w:r>
      <w:r w:rsidR="006E321A">
        <w:t>, desagregado por partida genérica.</w:t>
      </w:r>
      <w:r w:rsidR="00CF1D6E">
        <w:rPr>
          <w:rStyle w:val="Refdenotaalpie"/>
        </w:rPr>
        <w:footnoteReference w:id="13"/>
      </w:r>
    </w:p>
    <w:p w:rsidR="008E29B5" w:rsidRPr="001D04F9" w:rsidRDefault="006E321A" w:rsidP="008E29B5">
      <w:pPr>
        <w:spacing w:after="0"/>
      </w:pPr>
      <w:r>
        <w:t xml:space="preserve">Para verificar la calidad </w:t>
      </w:r>
      <w:r w:rsidR="007D6B77">
        <w:t xml:space="preserve">de </w:t>
      </w:r>
      <w:r>
        <w:t>la información reportada en dicho componente,</w:t>
      </w:r>
      <w:r w:rsidR="001D04F9">
        <w:t xml:space="preserve"> se identifican las diferencias </w:t>
      </w:r>
      <w:r w:rsidR="00510893" w:rsidRPr="001D04F9">
        <w:t>entre lo que las entidades federativas reportan como recaudado</w:t>
      </w:r>
      <w:r w:rsidR="00CF1D6E">
        <w:rPr>
          <w:rStyle w:val="Refdenotaalpie"/>
        </w:rPr>
        <w:footnoteReference w:id="14"/>
      </w:r>
      <w:r w:rsidR="00510893" w:rsidRPr="001D04F9">
        <w:t xml:space="preserve"> por cada uno de los programas</w:t>
      </w:r>
      <w:r w:rsidR="00FF503D">
        <w:t xml:space="preserve"> presupuestarios</w:t>
      </w:r>
      <w:r w:rsidR="00510893" w:rsidRPr="001D04F9">
        <w:t xml:space="preserve"> que les transfiere</w:t>
      </w:r>
      <w:r w:rsidR="005B5765">
        <w:t>n</w:t>
      </w:r>
      <w:r w:rsidR="00510893" w:rsidRPr="001D04F9">
        <w:t xml:space="preserve"> recursos de gasto federalizado</w:t>
      </w:r>
      <w:r w:rsidR="005B5765">
        <w:t xml:space="preserve"> y lo que efectivamente se les transfirió en el per</w:t>
      </w:r>
      <w:r w:rsidR="00D27BD2">
        <w:t>i</w:t>
      </w:r>
      <w:r w:rsidR="005B5765">
        <w:t xml:space="preserve">odo correspondiente. Con base en ello, la variable AF </w:t>
      </w:r>
      <w:r w:rsidR="007D6B77">
        <w:t>identifica</w:t>
      </w:r>
      <w:r w:rsidR="00510893" w:rsidRPr="001D04F9">
        <w:t xml:space="preserve"> que se estén reportando </w:t>
      </w:r>
      <w:r w:rsidR="006E5F26">
        <w:t>todos</w:t>
      </w:r>
      <w:r w:rsidR="00510893" w:rsidRPr="001D04F9">
        <w:t xml:space="preserve"> los recursos federales transferidos</w:t>
      </w:r>
      <w:r w:rsidR="006E5F26">
        <w:t xml:space="preserve"> por entidad federativa.</w:t>
      </w:r>
    </w:p>
    <w:p w:rsidR="003070AA" w:rsidRDefault="003070AA" w:rsidP="008E29B5">
      <w:pPr>
        <w:pStyle w:val="Ttulo3"/>
        <w:spacing w:after="0"/>
      </w:pPr>
      <w:bookmarkStart w:id="14" w:name="_Toc500163674"/>
      <w:r w:rsidRPr="00E345E9">
        <w:t>Método de Cálculo</w:t>
      </w:r>
      <w:bookmarkEnd w:id="14"/>
    </w:p>
    <w:p w:rsidR="00934637" w:rsidRPr="00934637" w:rsidRDefault="00934637" w:rsidP="00934637">
      <w:pPr>
        <w:spacing w:after="0"/>
        <w:rPr>
          <w:lang w:eastAsia="zh-TW"/>
        </w:rPr>
      </w:pPr>
      <w:r>
        <w:rPr>
          <w:noProof/>
        </w:rPr>
        <mc:AlternateContent>
          <mc:Choice Requires="wps">
            <w:drawing>
              <wp:anchor distT="0" distB="0" distL="114300" distR="114300" simplePos="0" relativeHeight="251663360" behindDoc="0" locked="0" layoutInCell="1" allowOverlap="1" wp14:anchorId="7E415C26" wp14:editId="2C792534">
                <wp:simplePos x="0" y="0"/>
                <wp:positionH relativeFrom="column">
                  <wp:posOffset>53340</wp:posOffset>
                </wp:positionH>
                <wp:positionV relativeFrom="paragraph">
                  <wp:posOffset>129540</wp:posOffset>
                </wp:positionV>
                <wp:extent cx="5614670" cy="636270"/>
                <wp:effectExtent l="0" t="0" r="24130" b="11430"/>
                <wp:wrapNone/>
                <wp:docPr id="11" name="11 Rectángulo"/>
                <wp:cNvGraphicFramePr/>
                <a:graphic xmlns:a="http://schemas.openxmlformats.org/drawingml/2006/main">
                  <a:graphicData uri="http://schemas.microsoft.com/office/word/2010/wordprocessingShape">
                    <wps:wsp>
                      <wps:cNvSpPr/>
                      <wps:spPr>
                        <a:xfrm>
                          <a:off x="0" y="0"/>
                          <a:ext cx="5614670" cy="6362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6503" id="11 Rectángulo" o:spid="_x0000_s1026" style="position:absolute;margin-left:4.2pt;margin-top:10.2pt;width:442.1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" filled="f" strokecolor="black [3213]"/>
            </w:pict>
          </mc:Fallback>
        </mc:AlternateContent>
      </w:r>
    </w:p>
    <w:p w:rsidR="003246BA" w:rsidRPr="003246BA" w:rsidRDefault="003246BA" w:rsidP="00934637">
      <w:pPr>
        <w:spacing w:after="0"/>
      </w:pPr>
      <m:oMathPara>
        <m:oMathParaPr>
          <m:jc m:val="centerGroup"/>
        </m:oMathParaPr>
        <m:oMath>
          <m:r>
            <w:rPr>
              <w:rFonts w:ascii="Cambria Math" w:hAnsi="Cambria Math"/>
            </w:rPr>
            <m:t>AF</m:t>
          </m:r>
          <m:r>
            <m:rPr>
              <m:sty m:val="p"/>
            </m:rPr>
            <w:rPr>
              <w:rFonts w:ascii="Cambria Math" w:hAnsi="Cambria Math"/>
            </w:rPr>
            <m:t>=</m:t>
          </m:r>
          <m:f>
            <m:fPr>
              <m:ctrlPr>
                <w:rPr>
                  <w:rFonts w:ascii="Cambria Math" w:hAnsi="Cambria Math"/>
                  <w:iCs/>
                </w:rPr>
              </m:ctrlPr>
            </m:fPr>
            <m:num>
              <m:r>
                <m:rPr>
                  <m:sty m:val="p"/>
                </m:rPr>
                <w:rPr>
                  <w:rFonts w:ascii="Cambria Math" w:hAnsi="Cambria Math"/>
                </w:rPr>
                <m:t>(</m:t>
              </m:r>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rm</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pshcp</m:t>
                          </m:r>
                        </m:e>
                        <m:sub>
                          <m:r>
                            <m:rPr>
                              <m:sty m:val="p"/>
                            </m:rPr>
                            <w:rPr>
                              <w:rFonts w:ascii="Cambria Math" w:hAnsi="Cambria Math"/>
                            </w:rPr>
                            <m:t>1</m:t>
                          </m:r>
                        </m:sub>
                      </m:sSub>
                    </m:e>
                  </m:d>
                </m:num>
                <m:den>
                  <m:sSub>
                    <m:sSubPr>
                      <m:ctrlPr>
                        <w:rPr>
                          <w:rFonts w:ascii="Cambria Math" w:hAnsi="Cambria Math"/>
                          <w:iCs/>
                        </w:rPr>
                      </m:ctrlPr>
                    </m:sSubPr>
                    <m:e>
                      <m:r>
                        <w:rPr>
                          <w:rFonts w:ascii="Cambria Math" w:hAnsi="Cambria Math"/>
                        </w:rPr>
                        <m:t>pshcp</m:t>
                      </m:r>
                    </m:e>
                    <m:sub>
                      <m:r>
                        <m:rPr>
                          <m:sty m:val="p"/>
                        </m:rPr>
                        <w:rPr>
                          <w:rFonts w:ascii="Cambria Math" w:hAnsi="Cambria Math"/>
                        </w:rPr>
                        <m:t>1</m:t>
                      </m:r>
                    </m:sub>
                  </m:sSub>
                </m:den>
              </m:f>
              <m:r>
                <m:rPr>
                  <m:sty m:val="p"/>
                </m:rPr>
                <w:rPr>
                  <w:rFonts w:ascii="Cambria Math" w:hAnsi="Cambria Math"/>
                </w:rPr>
                <m:t>+</m:t>
              </m:r>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rm</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w:rPr>
                              <w:rFonts w:ascii="Cambria Math" w:hAnsi="Cambria Math"/>
                            </w:rPr>
                            <m:t>pshcp</m:t>
                          </m:r>
                        </m:e>
                        <m:sub>
                          <m:r>
                            <m:rPr>
                              <m:sty m:val="p"/>
                            </m:rPr>
                            <w:rPr>
                              <w:rFonts w:ascii="Cambria Math" w:hAnsi="Cambria Math"/>
                            </w:rPr>
                            <m:t>2</m:t>
                          </m:r>
                        </m:sub>
                      </m:sSub>
                    </m:e>
                  </m:d>
                </m:num>
                <m:den>
                  <m:sSub>
                    <m:sSubPr>
                      <m:ctrlPr>
                        <w:rPr>
                          <w:rFonts w:ascii="Cambria Math" w:hAnsi="Cambria Math"/>
                          <w:iCs/>
                        </w:rPr>
                      </m:ctrlPr>
                    </m:sSubPr>
                    <m:e>
                      <m:r>
                        <w:rPr>
                          <w:rFonts w:ascii="Cambria Math" w:hAnsi="Cambria Math"/>
                        </w:rPr>
                        <m:t>pshcp</m:t>
                      </m:r>
                    </m:e>
                    <m:sub>
                      <m:r>
                        <m:rPr>
                          <m:sty m:val="p"/>
                        </m:rPr>
                        <w:rPr>
                          <w:rFonts w:ascii="Cambria Math" w:hAnsi="Cambria Math"/>
                        </w:rPr>
                        <m:t>2</m:t>
                      </m:r>
                    </m:sub>
                  </m:sSub>
                </m:den>
              </m:f>
              <m:r>
                <m:rPr>
                  <m:sty m:val="p"/>
                </m:rPr>
                <w:rPr>
                  <w:rFonts w:ascii="Cambria Math" w:hAnsi="Cambria Math"/>
                </w:rPr>
                <m:t>+…+</m:t>
              </m:r>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rm</m:t>
                          </m:r>
                        </m:e>
                        <m:sub>
                          <m:r>
                            <w:rPr>
                              <w:rFonts w:ascii="Cambria Math" w:hAnsi="Cambria Math"/>
                            </w:rPr>
                            <m:t>n</m:t>
                          </m:r>
                        </m:sub>
                      </m:sSub>
                      <m:r>
                        <m:rPr>
                          <m:sty m:val="p"/>
                        </m:rPr>
                        <w:rPr>
                          <w:rFonts w:ascii="Cambria Math" w:hAnsi="Cambria Math"/>
                        </w:rPr>
                        <m:t>-</m:t>
                      </m:r>
                      <m:sSub>
                        <m:sSubPr>
                          <m:ctrlPr>
                            <w:rPr>
                              <w:rFonts w:ascii="Cambria Math" w:hAnsi="Cambria Math"/>
                              <w:iCs/>
                            </w:rPr>
                          </m:ctrlPr>
                        </m:sSubPr>
                        <m:e>
                          <m:r>
                            <w:rPr>
                              <w:rFonts w:ascii="Cambria Math" w:hAnsi="Cambria Math"/>
                            </w:rPr>
                            <m:t>pshcp</m:t>
                          </m:r>
                        </m:e>
                        <m:sub>
                          <m:r>
                            <w:rPr>
                              <w:rFonts w:ascii="Cambria Math" w:hAnsi="Cambria Math"/>
                            </w:rPr>
                            <m:t>n</m:t>
                          </m:r>
                        </m:sub>
                      </m:sSub>
                    </m:e>
                  </m:d>
                </m:num>
                <m:den>
                  <m:sSub>
                    <m:sSubPr>
                      <m:ctrlPr>
                        <w:rPr>
                          <w:rFonts w:ascii="Cambria Math" w:hAnsi="Cambria Math"/>
                          <w:iCs/>
                        </w:rPr>
                      </m:ctrlPr>
                    </m:sSubPr>
                    <m:e>
                      <m:r>
                        <w:rPr>
                          <w:rFonts w:ascii="Cambria Math" w:hAnsi="Cambria Math"/>
                        </w:rPr>
                        <m:t>pshcp</m:t>
                      </m:r>
                    </m:e>
                    <m:sub>
                      <m:r>
                        <w:rPr>
                          <w:rFonts w:ascii="Cambria Math" w:hAnsi="Cambria Math"/>
                        </w:rPr>
                        <m:t>n</m:t>
                      </m:r>
                    </m:sub>
                  </m:sSub>
                </m:den>
              </m:f>
              <m:r>
                <m:rPr>
                  <m:sty m:val="p"/>
                </m:rPr>
                <w:rPr>
                  <w:rFonts w:ascii="Cambria Math" w:hAnsi="Cambria Math"/>
                </w:rPr>
                <m:t>)</m:t>
              </m:r>
            </m:num>
            <m:den>
              <m:r>
                <w:rPr>
                  <w:rFonts w:ascii="Cambria Math" w:hAnsi="Cambria Math"/>
                </w:rPr>
                <m:t>n</m:t>
              </m:r>
            </m:den>
          </m:f>
        </m:oMath>
      </m:oMathPara>
    </w:p>
    <w:p w:rsidR="00934637" w:rsidRPr="008E29B5" w:rsidRDefault="00934637" w:rsidP="00852D19">
      <w:pPr>
        <w:rPr>
          <w:b/>
          <w:sz w:val="6"/>
          <w:szCs w:val="6"/>
        </w:rPr>
      </w:pPr>
    </w:p>
    <w:p w:rsidR="003246BA" w:rsidRPr="003246BA" w:rsidRDefault="000631AC" w:rsidP="00852D19">
      <w:r w:rsidRPr="000631AC">
        <w:rPr>
          <w:b/>
        </w:rPr>
        <w:t>rm:</w:t>
      </w:r>
      <w:r>
        <w:tab/>
      </w:r>
      <w:r>
        <w:tab/>
      </w:r>
      <w:r w:rsidR="003246BA" w:rsidRPr="00E57C14">
        <w:t>reportado como ministrado por la entidad federativa</w:t>
      </w:r>
    </w:p>
    <w:p w:rsidR="003246BA" w:rsidRPr="003246BA" w:rsidRDefault="000631AC" w:rsidP="00852D19">
      <w:r w:rsidRPr="000631AC">
        <w:rPr>
          <w:b/>
        </w:rPr>
        <w:t>pshcp:</w:t>
      </w:r>
      <w:r>
        <w:tab/>
      </w:r>
      <w:r w:rsidR="003246BA" w:rsidRPr="00E57C14">
        <w:t>transferido a la entidad federativa por la SHCP</w:t>
      </w:r>
    </w:p>
    <w:p w:rsidR="003246BA" w:rsidRDefault="000631AC" w:rsidP="008E29B5">
      <w:pPr>
        <w:ind w:left="1418" w:hanging="1418"/>
      </w:pPr>
      <w:r w:rsidRPr="000631AC">
        <w:rPr>
          <w:b/>
        </w:rPr>
        <w:t>n:</w:t>
      </w:r>
      <w:r>
        <w:tab/>
      </w:r>
      <w:r w:rsidR="003246BA" w:rsidRPr="00E57C14">
        <w:t>número de programas presupuestarios a reportar</w:t>
      </w:r>
      <w:r w:rsidRPr="00E57C14">
        <w:t xml:space="preserve">, es decir, aquellos mediante los cuales se transfirieron recursos </w:t>
      </w:r>
      <w:r w:rsidR="00D27BD2">
        <w:t xml:space="preserve">a la entidad federativa </w:t>
      </w:r>
      <w:r w:rsidRPr="00E57C14">
        <w:t>en el per</w:t>
      </w:r>
      <w:r w:rsidR="00D27BD2">
        <w:t>i</w:t>
      </w:r>
      <w:r w:rsidRPr="00E57C14">
        <w:t>odo</w:t>
      </w:r>
    </w:p>
    <w:p w:rsidR="003070AA" w:rsidRDefault="00787EF4" w:rsidP="00852D19">
      <w:r>
        <w:t xml:space="preserve">Como se observa, para cada uno de los programas que transfirieron recursos a la entidad federativa, </w:t>
      </w:r>
      <w:r w:rsidR="00043DFE">
        <w:t xml:space="preserve">se </w:t>
      </w:r>
      <w:r>
        <w:t>calcula la diferencia entre lo reportado como recaudado</w:t>
      </w:r>
      <w:r w:rsidR="00863D81">
        <w:t xml:space="preserve"> por la entidad federativa</w:t>
      </w:r>
      <w:r>
        <w:t xml:space="preserve"> y lo transferido</w:t>
      </w:r>
      <w:r w:rsidR="00863D81">
        <w:t xml:space="preserve"> por la </w:t>
      </w:r>
      <w:r w:rsidR="00657AD5">
        <w:t>SHCP</w:t>
      </w:r>
      <w:r>
        <w:t xml:space="preserve">. </w:t>
      </w:r>
      <w:r w:rsidR="00D27BD2">
        <w:t>De esta manera, s</w:t>
      </w:r>
      <w:r>
        <w:t xml:space="preserve">e toma </w:t>
      </w:r>
      <w:r>
        <w:lastRenderedPageBreak/>
        <w:t>el valor absoluto de las diferencias, pues, en términos de la calidad de la información, resulta indistinto si se reporta una cantidad superior o inferior a la efectivamente transferida, pues en ambos casos se trata de información incorrecta que no permite llevar a cabo una valoración</w:t>
      </w:r>
      <w:r w:rsidR="00BD1788">
        <w:t xml:space="preserve"> sobre la congruencia de la información.</w:t>
      </w:r>
      <w:r>
        <w:t xml:space="preserve"> </w:t>
      </w:r>
      <w:r w:rsidR="00D27BD2">
        <w:t>C</w:t>
      </w:r>
      <w:r>
        <w:t xml:space="preserve">abe señalar que una vez que se cuenta con </w:t>
      </w:r>
      <w:r w:rsidR="00F57450">
        <w:t>el</w:t>
      </w:r>
      <w:r>
        <w:t xml:space="preserve"> va</w:t>
      </w:r>
      <w:r w:rsidR="00F57450">
        <w:t>lor absoluto de la diferencia mencionada</w:t>
      </w:r>
      <w:r>
        <w:t xml:space="preserve">, </w:t>
      </w:r>
      <w:r w:rsidR="00D27BD2">
        <w:t xml:space="preserve">éste </w:t>
      </w:r>
      <w:r>
        <w:t>se divide entre el monto transferido por la SHCP. Con ello, se logra normalizar las diferencias</w:t>
      </w:r>
      <w:r w:rsidR="00F57450">
        <w:t xml:space="preserve">, en términos del propio monto transferido, a fin de que los programas que reciben una mayor cantidad de recursos no generen un sesgo en la medición.  </w:t>
      </w:r>
    </w:p>
    <w:p w:rsidR="00F57450" w:rsidRDefault="00D27BD2" w:rsidP="008E29B5">
      <w:pPr>
        <w:spacing w:after="0"/>
      </w:pPr>
      <w:r>
        <w:t>Por consiguiente</w:t>
      </w:r>
      <w:r w:rsidR="00F57450">
        <w:t>, se suman los resultados parciales de las diferencias normalizadas y se dividen entre el número de programas presupuestarios a reportar. Lo anterior permite, adem</w:t>
      </w:r>
      <w:r w:rsidR="00F608A6">
        <w:t>ás de otorgarle el mismo peso a cada programa presupuestario</w:t>
      </w:r>
      <w:r w:rsidR="00CF1D6E">
        <w:rPr>
          <w:rStyle w:val="Refdenotaalpie"/>
        </w:rPr>
        <w:footnoteReference w:id="15"/>
      </w:r>
      <w:r w:rsidR="00F608A6">
        <w:t xml:space="preserve">, considerar los casos en los que no se reportó información, cuando tendría que haberse realizado el reporte, al </w:t>
      </w:r>
      <w:r>
        <w:t>ser</w:t>
      </w:r>
      <w:r w:rsidR="00F608A6">
        <w:t xml:space="preserve"> recursos de gasto federalizado.</w:t>
      </w:r>
      <w:r w:rsidR="00F57450">
        <w:t xml:space="preserve"> </w:t>
      </w:r>
    </w:p>
    <w:p w:rsidR="008E29B5" w:rsidRPr="00642E51" w:rsidRDefault="008E29B5" w:rsidP="008E29B5">
      <w:pPr>
        <w:spacing w:after="0"/>
      </w:pPr>
    </w:p>
    <w:p w:rsidR="00735E37" w:rsidRDefault="00AC5953" w:rsidP="008E29B5">
      <w:pPr>
        <w:pStyle w:val="Ttulo3"/>
        <w:spacing w:after="0"/>
      </w:pPr>
      <w:bookmarkStart w:id="15" w:name="_Toc500163675"/>
      <w:r>
        <w:t>Consideraciones</w:t>
      </w:r>
      <w:bookmarkEnd w:id="15"/>
      <w:r>
        <w:t xml:space="preserve"> </w:t>
      </w:r>
    </w:p>
    <w:p w:rsidR="000E60AC" w:rsidRDefault="00F608A6" w:rsidP="00852D19">
      <w:pPr>
        <w:rPr>
          <w:rFonts w:eastAsiaTheme="minorHAnsi"/>
          <w:lang w:eastAsia="zh-TW"/>
        </w:rPr>
      </w:pPr>
      <w:r w:rsidRPr="007355A1">
        <w:rPr>
          <w:rFonts w:eastAsiaTheme="minorHAnsi"/>
          <w:lang w:eastAsia="zh-TW"/>
        </w:rPr>
        <w:t xml:space="preserve">Para el cálculo de esta variable, </w:t>
      </w:r>
      <w:r w:rsidR="00BD1788">
        <w:rPr>
          <w:rFonts w:eastAsiaTheme="minorHAnsi"/>
          <w:lang w:eastAsia="zh-TW"/>
        </w:rPr>
        <w:t xml:space="preserve">se </w:t>
      </w:r>
      <w:r w:rsidRPr="007355A1">
        <w:rPr>
          <w:rFonts w:eastAsiaTheme="minorHAnsi"/>
          <w:lang w:eastAsia="zh-TW"/>
        </w:rPr>
        <w:t>toma en cuenta</w:t>
      </w:r>
      <w:r w:rsidR="00BD1788">
        <w:rPr>
          <w:rFonts w:eastAsiaTheme="minorHAnsi"/>
          <w:lang w:eastAsia="zh-TW"/>
        </w:rPr>
        <w:t xml:space="preserve"> únicamente</w:t>
      </w:r>
      <w:r w:rsidRPr="007355A1">
        <w:rPr>
          <w:rFonts w:eastAsiaTheme="minorHAnsi"/>
          <w:lang w:eastAsia="zh-TW"/>
        </w:rPr>
        <w:t xml:space="preserve"> la información reportada po</w:t>
      </w:r>
      <w:r w:rsidR="007355A1" w:rsidRPr="007355A1">
        <w:rPr>
          <w:rFonts w:eastAsiaTheme="minorHAnsi"/>
          <w:lang w:eastAsia="zh-TW"/>
        </w:rPr>
        <w:t>r las entidades federativas.</w:t>
      </w:r>
      <w:r w:rsidR="007355A1">
        <w:rPr>
          <w:rFonts w:eastAsiaTheme="minorHAnsi"/>
          <w:lang w:eastAsia="zh-TW"/>
        </w:rPr>
        <w:t xml:space="preserve"> </w:t>
      </w:r>
      <w:r>
        <w:rPr>
          <w:rFonts w:eastAsiaTheme="minorHAnsi"/>
          <w:lang w:eastAsia="zh-TW"/>
        </w:rPr>
        <w:t>Asimismo</w:t>
      </w:r>
      <w:r w:rsidR="00223EA3">
        <w:rPr>
          <w:rFonts w:eastAsiaTheme="minorHAnsi"/>
          <w:lang w:eastAsia="zh-TW"/>
        </w:rPr>
        <w:t>,</w:t>
      </w:r>
      <w:r>
        <w:rPr>
          <w:rFonts w:eastAsiaTheme="minorHAnsi"/>
          <w:lang w:eastAsia="zh-TW"/>
        </w:rPr>
        <w:t xml:space="preserve"> es necesario considerar que, a pesar de normalizar las diferencias al dividirlas entre el monto pagado, en </w:t>
      </w:r>
      <w:r w:rsidR="002D260C">
        <w:rPr>
          <w:rFonts w:eastAsiaTheme="minorHAnsi"/>
          <w:lang w:eastAsia="zh-TW"/>
        </w:rPr>
        <w:t xml:space="preserve">el </w:t>
      </w:r>
      <w:r>
        <w:rPr>
          <w:rFonts w:eastAsiaTheme="minorHAnsi"/>
          <w:lang w:eastAsia="zh-TW"/>
        </w:rPr>
        <w:t xml:space="preserve">caso </w:t>
      </w:r>
      <w:r w:rsidR="00D27BD2">
        <w:rPr>
          <w:rFonts w:eastAsiaTheme="minorHAnsi"/>
          <w:lang w:eastAsia="zh-TW"/>
        </w:rPr>
        <w:t xml:space="preserve">en </w:t>
      </w:r>
      <w:r>
        <w:rPr>
          <w:rFonts w:eastAsiaTheme="minorHAnsi"/>
          <w:lang w:eastAsia="zh-TW"/>
        </w:rPr>
        <w:t xml:space="preserve">que las entidades federativas reporten información superior al doble del recurso transferido, </w:t>
      </w:r>
      <w:r w:rsidR="002D260C">
        <w:rPr>
          <w:rFonts w:eastAsiaTheme="minorHAnsi"/>
          <w:lang w:eastAsia="zh-TW"/>
        </w:rPr>
        <w:t xml:space="preserve">el valor se </w:t>
      </w:r>
      <w:r w:rsidR="000723AD">
        <w:rPr>
          <w:rFonts w:eastAsiaTheme="minorHAnsi"/>
          <w:lang w:eastAsia="zh-TW"/>
        </w:rPr>
        <w:t>toma como</w:t>
      </w:r>
      <w:r w:rsidR="002D260C">
        <w:rPr>
          <w:rFonts w:eastAsiaTheme="minorHAnsi"/>
          <w:lang w:eastAsia="zh-TW"/>
        </w:rPr>
        <w:t xml:space="preserve"> </w:t>
      </w:r>
      <w:r w:rsidR="000723AD">
        <w:rPr>
          <w:rFonts w:eastAsiaTheme="minorHAnsi"/>
          <w:lang w:eastAsia="zh-TW"/>
        </w:rPr>
        <w:t>nulo,</w:t>
      </w:r>
      <w:r w:rsidR="001479D3">
        <w:rPr>
          <w:rFonts w:eastAsiaTheme="minorHAnsi"/>
          <w:lang w:eastAsia="zh-TW"/>
        </w:rPr>
        <w:t xml:space="preserve"> </w:t>
      </w:r>
      <w:r w:rsidR="000723AD">
        <w:rPr>
          <w:rFonts w:eastAsiaTheme="minorHAnsi"/>
          <w:lang w:eastAsia="zh-TW"/>
        </w:rPr>
        <w:t xml:space="preserve">dado que son considerados </w:t>
      </w:r>
      <w:r w:rsidR="001479D3">
        <w:rPr>
          <w:rFonts w:eastAsiaTheme="minorHAnsi"/>
          <w:lang w:eastAsia="zh-TW"/>
        </w:rPr>
        <w:t xml:space="preserve">casos atípicos, </w:t>
      </w:r>
      <w:r w:rsidR="000723AD">
        <w:rPr>
          <w:rFonts w:eastAsiaTheme="minorHAnsi"/>
          <w:lang w:eastAsia="zh-TW"/>
        </w:rPr>
        <w:t xml:space="preserve">y </w:t>
      </w:r>
      <w:r w:rsidR="00BD1788">
        <w:rPr>
          <w:rFonts w:eastAsiaTheme="minorHAnsi"/>
          <w:lang w:eastAsia="zh-TW"/>
        </w:rPr>
        <w:t>la inclusión de esta clase de errores genera sesgos en la información, los cuales deteriora</w:t>
      </w:r>
      <w:r w:rsidR="006518E2">
        <w:rPr>
          <w:rFonts w:eastAsiaTheme="minorHAnsi"/>
          <w:lang w:eastAsia="zh-TW"/>
        </w:rPr>
        <w:t>n</w:t>
      </w:r>
      <w:r w:rsidR="00BD1788">
        <w:rPr>
          <w:rFonts w:eastAsiaTheme="minorHAnsi"/>
          <w:lang w:eastAsia="zh-TW"/>
        </w:rPr>
        <w:t xml:space="preserve"> la capacidad del indicador para analizar la congruencia del informe financiero. </w:t>
      </w:r>
    </w:p>
    <w:p w:rsidR="005B5765" w:rsidRDefault="005B5765" w:rsidP="00852D19">
      <w:pPr>
        <w:rPr>
          <w:rFonts w:eastAsiaTheme="minorHAnsi"/>
          <w:lang w:eastAsia="zh-TW"/>
        </w:rPr>
      </w:pPr>
    </w:p>
    <w:p w:rsidR="003070AA" w:rsidRPr="00CA529E" w:rsidRDefault="00C703FF" w:rsidP="00852D19">
      <w:pPr>
        <w:pStyle w:val="Ttulo2"/>
        <w:rPr>
          <w:rFonts w:eastAsia="Times New Roman"/>
        </w:rPr>
      </w:pPr>
      <w:bookmarkStart w:id="16" w:name="_Toc500163676"/>
      <w:r>
        <w:rPr>
          <w:rFonts w:eastAsia="Times New Roman"/>
        </w:rPr>
        <w:t>Indicadores (I)</w:t>
      </w:r>
      <w:bookmarkEnd w:id="16"/>
    </w:p>
    <w:p w:rsidR="003070AA" w:rsidRPr="00E345E9" w:rsidRDefault="003070AA" w:rsidP="00852D19">
      <w:pPr>
        <w:pStyle w:val="Ttulo3"/>
      </w:pPr>
      <w:bookmarkStart w:id="17" w:name="_Toc500163677"/>
      <w:r w:rsidRPr="00E345E9">
        <w:t>Definición</w:t>
      </w:r>
      <w:bookmarkEnd w:id="17"/>
    </w:p>
    <w:p w:rsidR="00540A58" w:rsidRDefault="001479D3" w:rsidP="00540A58">
      <w:pPr>
        <w:rPr>
          <w:lang w:eastAsia="zh-TW"/>
        </w:rPr>
      </w:pPr>
      <w:r>
        <w:t>Esta variable permite conocer la calidad en la información</w:t>
      </w:r>
      <w:r w:rsidR="00437F45">
        <w:t xml:space="preserve"> reportada </w:t>
      </w:r>
      <w:r w:rsidR="00540A58">
        <w:t xml:space="preserve">en el </w:t>
      </w:r>
      <w:r w:rsidR="00437F45">
        <w:t xml:space="preserve">componente de Indicadores de los reportes sobre el ejercicio, destino y </w:t>
      </w:r>
      <w:r w:rsidR="00437F45">
        <w:lastRenderedPageBreak/>
        <w:t>resultados de los recursos federales transferidos. Al respecto cabe aclarar que</w:t>
      </w:r>
      <w:r w:rsidR="0095659F">
        <w:t>,</w:t>
      </w:r>
      <w:r w:rsidR="00437F45">
        <w:t xml:space="preserve"> en dicho componente, l</w:t>
      </w:r>
      <w:r w:rsidR="001F3C9F">
        <w:t>os Gobiernos Locales</w:t>
      </w:r>
      <w:r w:rsidR="00437F45">
        <w:t xml:space="preserve">, </w:t>
      </w:r>
      <w:r w:rsidR="00E57C14">
        <w:t>reportan las metas y avances de los indicadores definidos por las Dependencias Coordinadoras de los Fondos de Aportaciones Federales</w:t>
      </w:r>
      <w:r w:rsidR="00CF1D6E">
        <w:rPr>
          <w:rStyle w:val="Refdenotaalpie"/>
        </w:rPr>
        <w:footnoteReference w:id="16"/>
      </w:r>
      <w:r w:rsidR="00CF54A5">
        <w:t>.</w:t>
      </w:r>
      <w:r w:rsidR="00E57C14">
        <w:t xml:space="preserve"> </w:t>
      </w:r>
      <w:r w:rsidR="00540A58">
        <w:rPr>
          <w:lang w:eastAsia="zh-TW"/>
        </w:rPr>
        <w:t xml:space="preserve">Por medio de esta variable es posible conocer la proporción de registros que no se registraron o que presentan inconsistencias del total de los registros a realizar. </w:t>
      </w:r>
    </w:p>
    <w:p w:rsidR="00F05D24" w:rsidRDefault="003070AA" w:rsidP="008E29B5">
      <w:pPr>
        <w:pStyle w:val="Ttulo3"/>
        <w:spacing w:after="0"/>
      </w:pPr>
      <w:bookmarkStart w:id="18" w:name="_Toc500163678"/>
      <w:r w:rsidRPr="00E345E9">
        <w:t>Método de Cálculo</w:t>
      </w:r>
      <w:bookmarkEnd w:id="18"/>
    </w:p>
    <w:p w:rsidR="00934637" w:rsidRPr="00934637" w:rsidRDefault="00934637" w:rsidP="00934637">
      <w:pPr>
        <w:spacing w:after="0"/>
        <w:rPr>
          <w:lang w:eastAsia="zh-TW"/>
        </w:rPr>
      </w:pPr>
      <w:r>
        <w:rPr>
          <w:noProof/>
        </w:rPr>
        <mc:AlternateContent>
          <mc:Choice Requires="wps">
            <w:drawing>
              <wp:anchor distT="0" distB="0" distL="114300" distR="114300" simplePos="0" relativeHeight="251665408" behindDoc="0" locked="0" layoutInCell="1" allowOverlap="1" wp14:anchorId="4784AD41" wp14:editId="47F76896">
                <wp:simplePos x="0" y="0"/>
                <wp:positionH relativeFrom="column">
                  <wp:posOffset>2515</wp:posOffset>
                </wp:positionH>
                <wp:positionV relativeFrom="paragraph">
                  <wp:posOffset>152883</wp:posOffset>
                </wp:positionV>
                <wp:extent cx="5614670" cy="599846"/>
                <wp:effectExtent l="0" t="0" r="24130" b="10160"/>
                <wp:wrapNone/>
                <wp:docPr id="13" name="13 Rectángulo"/>
                <wp:cNvGraphicFramePr/>
                <a:graphic xmlns:a="http://schemas.openxmlformats.org/drawingml/2006/main">
                  <a:graphicData uri="http://schemas.microsoft.com/office/word/2010/wordprocessingShape">
                    <wps:wsp>
                      <wps:cNvSpPr/>
                      <wps:spPr>
                        <a:xfrm>
                          <a:off x="0" y="0"/>
                          <a:ext cx="5614670" cy="59984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FEDF0" id="13 Rectángulo" o:spid="_x0000_s1026" style="position:absolute;margin-left:.2pt;margin-top:12.05pt;width:442.1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" filled="f" strokecolor="black [3213]"/>
            </w:pict>
          </mc:Fallback>
        </mc:AlternateContent>
      </w:r>
    </w:p>
    <w:p w:rsidR="00B14D01" w:rsidRPr="003246BA" w:rsidRDefault="00B14D01" w:rsidP="00934637">
      <w:pPr>
        <w:spacing w:after="0"/>
      </w:pPr>
      <m:oMathPara>
        <m:oMathParaPr>
          <m:jc m:val="centerGroup"/>
        </m:oMathParaPr>
        <m:oMath>
          <m:r>
            <w:rPr>
              <w:rFonts w:ascii="Cambria Math" w:hAnsi="Cambria Math"/>
            </w:rPr>
            <m:t>I</m:t>
          </m:r>
          <m:r>
            <m:rPr>
              <m:sty m:val="p"/>
            </m:rPr>
            <w:rPr>
              <w:rFonts w:ascii="Cambria Math" w:hAnsi="Cambria Math"/>
            </w:rPr>
            <m:t>=</m:t>
          </m:r>
          <m:f>
            <m:fPr>
              <m:ctrlPr>
                <w:rPr>
                  <w:rFonts w:ascii="Cambria Math" w:hAnsi="Cambria Math"/>
                  <w:iCs/>
                </w:rPr>
              </m:ctrlPr>
            </m:fPr>
            <m:num>
              <m:nary>
                <m:naryPr>
                  <m:chr m:val="∑"/>
                  <m:ctrlPr>
                    <w:rPr>
                      <w:rFonts w:ascii="Cambria Math" w:hAnsi="Cambria Math"/>
                      <w:iCs/>
                    </w:rPr>
                  </m:ctrlPr>
                </m:naryPr>
                <m:sub>
                  <m:r>
                    <w:rPr>
                      <w:rFonts w:ascii="Cambria Math" w:hAnsi="Cambria Math"/>
                    </w:rPr>
                    <m:t>i</m:t>
                  </m:r>
                  <m:r>
                    <m:rPr>
                      <m:sty m:val="p"/>
                    </m:rPr>
                    <w:rPr>
                      <w:rFonts w:ascii="Cambria Math" w:hAnsi="Cambria Math"/>
                    </w:rPr>
                    <m:t>=1</m:t>
                  </m:r>
                </m:sub>
                <m:sup>
                  <m:r>
                    <w:rPr>
                      <w:rFonts w:ascii="Cambria Math" w:hAnsi="Cambria Math"/>
                    </w:rPr>
                    <m:t>nf</m:t>
                  </m:r>
                </m:sup>
                <m:e>
                  <m:r>
                    <m:rPr>
                      <m:sty m:val="p"/>
                    </m:rPr>
                    <w:rPr>
                      <w:rFonts w:ascii="Cambria Math" w:hAnsi="Cambria Math"/>
                    </w:rPr>
                    <m:t>(</m:t>
                  </m:r>
                </m:e>
              </m:nary>
              <m:f>
                <m:fPr>
                  <m:ctrlPr>
                    <w:rPr>
                      <w:rFonts w:ascii="Cambria Math" w:hAnsi="Cambria Math"/>
                      <w:iCs/>
                    </w:rPr>
                  </m:ctrlPr>
                </m:fPr>
                <m:num>
                  <m:r>
                    <m:rPr>
                      <m:sty m:val="p"/>
                    </m:rPr>
                    <w:rPr>
                      <w:rFonts w:ascii="Cambria Math" w:hAnsi="Cambria Math"/>
                    </w:rPr>
                    <m:t>(</m:t>
                  </m:r>
                  <m:r>
                    <w:rPr>
                      <w:rFonts w:ascii="Cambria Math" w:hAnsi="Cambria Math"/>
                    </w:rPr>
                    <m:t>incm</m:t>
                  </m:r>
                  <m:r>
                    <m:rPr>
                      <m:sty m:val="p"/>
                    </m:rPr>
                    <w:rPr>
                      <w:rFonts w:ascii="Cambria Math" w:hAnsi="Cambria Math"/>
                    </w:rPr>
                    <m:t>+</m:t>
                  </m:r>
                  <m:r>
                    <w:rPr>
                      <w:rFonts w:ascii="Cambria Math" w:hAnsi="Cambria Math"/>
                    </w:rPr>
                    <m:t>mnr</m:t>
                  </m:r>
                  <m:r>
                    <m:rPr>
                      <m:sty m:val="p"/>
                    </m:rPr>
                    <w:rPr>
                      <w:rFonts w:ascii="Cambria Math" w:hAnsi="Cambria Math"/>
                    </w:rPr>
                    <m:t>+</m:t>
                  </m:r>
                  <m:r>
                    <w:rPr>
                      <w:rFonts w:ascii="Cambria Math" w:hAnsi="Cambria Math"/>
                    </w:rPr>
                    <m:t>inca</m:t>
                  </m:r>
                  <m:r>
                    <m:rPr>
                      <m:sty m:val="p"/>
                    </m:rPr>
                    <w:rPr>
                      <w:rFonts w:ascii="Cambria Math" w:hAnsi="Cambria Math"/>
                    </w:rPr>
                    <m:t>+</m:t>
                  </m:r>
                  <m:r>
                    <w:rPr>
                      <w:rFonts w:ascii="Cambria Math" w:hAnsi="Cambria Math"/>
                    </w:rPr>
                    <m:t>anr</m:t>
                  </m:r>
                  <m:r>
                    <m:rPr>
                      <m:sty m:val="p"/>
                    </m:rPr>
                    <w:rPr>
                      <w:rFonts w:ascii="Cambria Math" w:hAnsi="Cambria Math"/>
                    </w:rPr>
                    <m:t>)</m:t>
                  </m:r>
                </m:num>
                <m:den>
                  <m:r>
                    <w:rPr>
                      <w:rFonts w:ascii="Cambria Math" w:hAnsi="Cambria Math"/>
                    </w:rPr>
                    <m:t>tm</m:t>
                  </m:r>
                  <m:r>
                    <m:rPr>
                      <m:sty m:val="p"/>
                    </m:rPr>
                    <w:rPr>
                      <w:rFonts w:ascii="Cambria Math" w:hAnsi="Cambria Math"/>
                    </w:rPr>
                    <m:t>+</m:t>
                  </m:r>
                  <m:r>
                    <w:rPr>
                      <w:rFonts w:ascii="Cambria Math" w:hAnsi="Cambria Math"/>
                    </w:rPr>
                    <m:t>ta</m:t>
                  </m:r>
                </m:den>
              </m:f>
              <m:r>
                <m:rPr>
                  <m:sty m:val="p"/>
                </m:rPr>
                <w:rPr>
                  <w:rFonts w:ascii="Cambria Math" w:hAnsi="Cambria Math"/>
                </w:rPr>
                <m:t>) </m:t>
              </m:r>
            </m:num>
            <m:den>
              <m:r>
                <w:rPr>
                  <w:rFonts w:ascii="Cambria Math" w:hAnsi="Cambria Math"/>
                </w:rPr>
                <m:t>nf</m:t>
              </m:r>
            </m:den>
          </m:f>
        </m:oMath>
      </m:oMathPara>
    </w:p>
    <w:p w:rsidR="00934637" w:rsidRPr="008E29B5" w:rsidRDefault="00934637" w:rsidP="00852D19">
      <w:pPr>
        <w:rPr>
          <w:b/>
          <w:sz w:val="6"/>
          <w:szCs w:val="6"/>
        </w:rPr>
      </w:pPr>
    </w:p>
    <w:p w:rsidR="00316D6A" w:rsidRPr="003246BA" w:rsidRDefault="00E57C14" w:rsidP="00934637">
      <w:pPr>
        <w:spacing w:line="240" w:lineRule="auto"/>
        <w:ind w:left="1418" w:hanging="1418"/>
      </w:pPr>
      <w:r>
        <w:rPr>
          <w:b/>
        </w:rPr>
        <w:t>i</w:t>
      </w:r>
      <w:r w:rsidR="00316D6A" w:rsidRPr="00E57C14">
        <w:rPr>
          <w:b/>
        </w:rPr>
        <w:t>ncm</w:t>
      </w:r>
      <w:r w:rsidRPr="00E57C14">
        <w:rPr>
          <w:b/>
        </w:rPr>
        <w:t>:</w:t>
      </w:r>
      <w:r>
        <w:rPr>
          <w:b/>
        </w:rPr>
        <w:tab/>
      </w:r>
      <w:r w:rsidR="00316D6A" w:rsidRPr="00E57C14">
        <w:rPr>
          <w:rStyle w:val="NormalaCar"/>
        </w:rPr>
        <w:t>metas reportadas que presentan inconsistencias con el método de cálculo</w:t>
      </w:r>
    </w:p>
    <w:p w:rsidR="00316D6A" w:rsidRPr="003246BA" w:rsidRDefault="00316D6A" w:rsidP="00934637">
      <w:pPr>
        <w:spacing w:line="240" w:lineRule="auto"/>
      </w:pPr>
      <w:r w:rsidRPr="00E57C14">
        <w:rPr>
          <w:b/>
        </w:rPr>
        <w:t>mnr</w:t>
      </w:r>
      <w:r w:rsidR="00E57C14">
        <w:rPr>
          <w:b/>
        </w:rPr>
        <w:t>:</w:t>
      </w:r>
      <w:r w:rsidR="00E57C14">
        <w:rPr>
          <w:b/>
        </w:rPr>
        <w:tab/>
      </w:r>
      <w:r w:rsidR="00E57C14">
        <w:rPr>
          <w:b/>
        </w:rPr>
        <w:tab/>
      </w:r>
      <w:r w:rsidRPr="00E57C14">
        <w:rPr>
          <w:rStyle w:val="NormalaCar"/>
        </w:rPr>
        <w:t>metas no reportadas</w:t>
      </w:r>
    </w:p>
    <w:p w:rsidR="00316D6A" w:rsidRPr="003246BA" w:rsidRDefault="00316D6A" w:rsidP="00934637">
      <w:pPr>
        <w:spacing w:line="240" w:lineRule="auto"/>
        <w:ind w:left="1418" w:hanging="1418"/>
      </w:pPr>
      <w:r w:rsidRPr="00E57C14">
        <w:rPr>
          <w:b/>
        </w:rPr>
        <w:t>inca</w:t>
      </w:r>
      <w:r w:rsidR="00934637">
        <w:rPr>
          <w:b/>
        </w:rPr>
        <w:t>:</w:t>
      </w:r>
      <w:r w:rsidR="00934637">
        <w:rPr>
          <w:b/>
        </w:rPr>
        <w:tab/>
      </w:r>
      <w:r w:rsidRPr="00E57C14">
        <w:rPr>
          <w:rStyle w:val="NormalaCar"/>
        </w:rPr>
        <w:t>avances reportados que presentan inconsistencias con el método de cálculo</w:t>
      </w:r>
    </w:p>
    <w:p w:rsidR="00316D6A" w:rsidRPr="003246BA" w:rsidRDefault="00316D6A" w:rsidP="00934637">
      <w:pPr>
        <w:spacing w:line="240" w:lineRule="auto"/>
      </w:pPr>
      <w:r w:rsidRPr="00E57C14">
        <w:rPr>
          <w:b/>
        </w:rPr>
        <w:t>anr</w:t>
      </w:r>
      <w:r w:rsidR="00E57C14">
        <w:rPr>
          <w:b/>
        </w:rPr>
        <w:t>:</w:t>
      </w:r>
      <w:r w:rsidR="00E57C14">
        <w:rPr>
          <w:b/>
        </w:rPr>
        <w:tab/>
      </w:r>
      <w:r w:rsidR="00E57C14">
        <w:rPr>
          <w:b/>
        </w:rPr>
        <w:tab/>
      </w:r>
      <w:r w:rsidRPr="00E57C14">
        <w:rPr>
          <w:rStyle w:val="NormalaCar"/>
        </w:rPr>
        <w:t>avances no reportados</w:t>
      </w:r>
    </w:p>
    <w:p w:rsidR="00316D6A" w:rsidRPr="003246BA" w:rsidRDefault="00316D6A" w:rsidP="00934637">
      <w:pPr>
        <w:spacing w:line="240" w:lineRule="auto"/>
        <w:ind w:left="1418" w:hanging="1418"/>
      </w:pPr>
      <w:r w:rsidRPr="00E57C14">
        <w:rPr>
          <w:b/>
        </w:rPr>
        <w:t>nf</w:t>
      </w:r>
      <w:r w:rsidR="00E57C14">
        <w:rPr>
          <w:b/>
        </w:rPr>
        <w:t>:</w:t>
      </w:r>
      <w:r w:rsidR="00E57C14">
        <w:rPr>
          <w:b/>
        </w:rPr>
        <w:tab/>
      </w:r>
      <w:r w:rsidRPr="00E57C14">
        <w:rPr>
          <w:rStyle w:val="NormalaCar"/>
        </w:rPr>
        <w:t>número de programas o fondos para los que se deben reportar indicadores</w:t>
      </w:r>
    </w:p>
    <w:p w:rsidR="00316D6A" w:rsidRPr="003246BA" w:rsidRDefault="00316D6A" w:rsidP="00934637">
      <w:pPr>
        <w:spacing w:line="240" w:lineRule="auto"/>
      </w:pPr>
      <w:r w:rsidRPr="00E57C14">
        <w:rPr>
          <w:b/>
        </w:rPr>
        <w:t>tm</w:t>
      </w:r>
      <w:r w:rsidR="00E57C14">
        <w:rPr>
          <w:b/>
        </w:rPr>
        <w:t>:</w:t>
      </w:r>
      <w:r w:rsidR="00E57C14">
        <w:rPr>
          <w:b/>
        </w:rPr>
        <w:tab/>
      </w:r>
      <w:r w:rsidR="00E57C14">
        <w:rPr>
          <w:b/>
        </w:rPr>
        <w:tab/>
      </w:r>
      <w:r w:rsidRPr="00E57C14">
        <w:rPr>
          <w:rStyle w:val="NormalaCar"/>
        </w:rPr>
        <w:t>total de metas a reportar en el per</w:t>
      </w:r>
      <w:r w:rsidR="00D27BD2">
        <w:rPr>
          <w:rStyle w:val="NormalaCar"/>
        </w:rPr>
        <w:t>i</w:t>
      </w:r>
      <w:r w:rsidRPr="00E57C14">
        <w:rPr>
          <w:rStyle w:val="NormalaCar"/>
        </w:rPr>
        <w:t>odo</w:t>
      </w:r>
    </w:p>
    <w:p w:rsidR="00316D6A" w:rsidRPr="003246BA" w:rsidRDefault="00316D6A" w:rsidP="008E29B5">
      <w:pPr>
        <w:spacing w:after="0" w:line="240" w:lineRule="auto"/>
      </w:pPr>
      <w:r w:rsidRPr="00E57C14">
        <w:rPr>
          <w:b/>
        </w:rPr>
        <w:t>ta</w:t>
      </w:r>
      <w:r w:rsidR="00E57C14">
        <w:rPr>
          <w:b/>
        </w:rPr>
        <w:t>:</w:t>
      </w:r>
      <w:r w:rsidR="00E57C14">
        <w:rPr>
          <w:b/>
        </w:rPr>
        <w:tab/>
      </w:r>
      <w:r w:rsidR="00E57C14">
        <w:rPr>
          <w:b/>
        </w:rPr>
        <w:tab/>
      </w:r>
      <w:r w:rsidRPr="00E57C14">
        <w:rPr>
          <w:rStyle w:val="NormalaCar"/>
        </w:rPr>
        <w:t>total de avances a reportar en el per</w:t>
      </w:r>
      <w:r w:rsidR="00D27BD2">
        <w:rPr>
          <w:rStyle w:val="NormalaCar"/>
        </w:rPr>
        <w:t>i</w:t>
      </w:r>
      <w:r w:rsidRPr="00E57C14">
        <w:rPr>
          <w:rStyle w:val="NormalaCar"/>
        </w:rPr>
        <w:t>odo</w:t>
      </w:r>
    </w:p>
    <w:p w:rsidR="00B14D01" w:rsidRDefault="00B14D01" w:rsidP="008E29B5">
      <w:pPr>
        <w:spacing w:after="0"/>
        <w:rPr>
          <w:lang w:eastAsia="zh-TW"/>
        </w:rPr>
      </w:pPr>
    </w:p>
    <w:p w:rsidR="00473A10" w:rsidRDefault="00767FE4" w:rsidP="0095659F">
      <w:pPr>
        <w:rPr>
          <w:lang w:eastAsia="zh-TW"/>
        </w:rPr>
      </w:pPr>
      <w:r>
        <w:rPr>
          <w:lang w:eastAsia="zh-TW"/>
        </w:rPr>
        <w:t xml:space="preserve">Para el cálculo de esta variable, se desagrega el reporte que realizan </w:t>
      </w:r>
      <w:r w:rsidR="001F3C9F">
        <w:rPr>
          <w:lang w:eastAsia="zh-TW"/>
        </w:rPr>
        <w:t>los Gobiernos Locales</w:t>
      </w:r>
      <w:r>
        <w:rPr>
          <w:lang w:eastAsia="zh-TW"/>
        </w:rPr>
        <w:t xml:space="preserve"> por meta y por avance de cada uno de los programas presupuestarios para los que deben registrar indicadores.</w:t>
      </w:r>
      <w:r w:rsidR="00CF1D6E">
        <w:rPr>
          <w:lang w:eastAsia="zh-TW"/>
        </w:rPr>
        <w:t xml:space="preserve"> </w:t>
      </w:r>
      <w:r w:rsidR="00D27BD2">
        <w:rPr>
          <w:lang w:eastAsia="zh-TW"/>
        </w:rPr>
        <w:t>P</w:t>
      </w:r>
      <w:r>
        <w:rPr>
          <w:lang w:eastAsia="zh-TW"/>
        </w:rPr>
        <w:t xml:space="preserve">ara cada programa, se suma el total de metas registradas con inconsistencias, el total de metas no registradas, así como el total de avances registrados con inconsistencias y aquellos no reportados. </w:t>
      </w:r>
      <w:r w:rsidR="00D27BD2">
        <w:rPr>
          <w:lang w:eastAsia="zh-TW"/>
        </w:rPr>
        <w:t xml:space="preserve">De esta forma y de acuerdo con los objetivos de los programas, </w:t>
      </w:r>
      <w:r>
        <w:rPr>
          <w:lang w:eastAsia="zh-TW"/>
        </w:rPr>
        <w:t xml:space="preserve">se obtiene el panorama completo de los registros que no cuentan con la calidad suficiente para valorar los resultados de la aplicación de los </w:t>
      </w:r>
      <w:r>
        <w:rPr>
          <w:lang w:eastAsia="zh-TW"/>
        </w:rPr>
        <w:lastRenderedPageBreak/>
        <w:t>recursos</w:t>
      </w:r>
      <w:r w:rsidR="00D27BD2">
        <w:rPr>
          <w:lang w:eastAsia="zh-TW"/>
        </w:rPr>
        <w:t>.</w:t>
      </w:r>
      <w:r w:rsidR="00540A58">
        <w:rPr>
          <w:lang w:eastAsia="zh-TW"/>
        </w:rPr>
        <w:t xml:space="preserve"> </w:t>
      </w:r>
      <w:r w:rsidR="00B03815">
        <w:rPr>
          <w:lang w:eastAsia="zh-TW"/>
        </w:rPr>
        <w:t xml:space="preserve">Una vez que se cuenta con el resultado de dicha suma, se divide entre el total de metas y avances que debieron ser registrados en el trimestre, </w:t>
      </w:r>
      <w:r w:rsidR="00D27BD2">
        <w:rPr>
          <w:lang w:eastAsia="zh-TW"/>
        </w:rPr>
        <w:t xml:space="preserve">con base en </w:t>
      </w:r>
      <w:r w:rsidR="00B03815">
        <w:rPr>
          <w:lang w:eastAsia="zh-TW"/>
        </w:rPr>
        <w:t xml:space="preserve"> la periodicidad de los indicadores. </w:t>
      </w:r>
    </w:p>
    <w:p w:rsidR="00B03815" w:rsidRDefault="00473A10" w:rsidP="008E29B5">
      <w:pPr>
        <w:spacing w:after="0"/>
        <w:rPr>
          <w:lang w:eastAsia="zh-TW"/>
        </w:rPr>
      </w:pPr>
      <w:r>
        <w:rPr>
          <w:lang w:eastAsia="zh-TW"/>
        </w:rPr>
        <w:t xml:space="preserve">Gracias al cálculo anterior, es posible contar con información desagregada sobre la calidad de la información reportada para cada uno de los programas, lo que permite implementar acciones de mejora en aquellos que lo requieran. </w:t>
      </w:r>
      <w:r w:rsidR="00D27BD2">
        <w:rPr>
          <w:lang w:eastAsia="zh-TW"/>
        </w:rPr>
        <w:t>No obstante,</w:t>
      </w:r>
      <w:r>
        <w:rPr>
          <w:lang w:eastAsia="zh-TW"/>
        </w:rPr>
        <w:t xml:space="preserve"> para </w:t>
      </w:r>
      <w:r w:rsidR="0095659F">
        <w:rPr>
          <w:lang w:eastAsia="zh-TW"/>
        </w:rPr>
        <w:t>su incorporación en</w:t>
      </w:r>
      <w:r>
        <w:rPr>
          <w:lang w:eastAsia="zh-TW"/>
        </w:rPr>
        <w:t xml:space="preserve"> la variable</w:t>
      </w:r>
      <w:r w:rsidR="0095659F">
        <w:rPr>
          <w:lang w:eastAsia="zh-TW"/>
        </w:rPr>
        <w:t xml:space="preserve"> construida</w:t>
      </w:r>
      <w:r>
        <w:rPr>
          <w:lang w:eastAsia="zh-TW"/>
        </w:rPr>
        <w:t xml:space="preserve"> por entidad federativa</w:t>
      </w:r>
      <w:r w:rsidR="0095659F">
        <w:rPr>
          <w:lang w:eastAsia="zh-TW"/>
        </w:rPr>
        <w:t>,</w:t>
      </w:r>
      <w:r>
        <w:rPr>
          <w:lang w:eastAsia="zh-TW"/>
        </w:rPr>
        <w:t xml:space="preserve"> se calcula la media de los resultados obtenidos por programa presupuestario.</w:t>
      </w:r>
    </w:p>
    <w:p w:rsidR="00473A10" w:rsidRDefault="00473A10" w:rsidP="008E29B5">
      <w:pPr>
        <w:pStyle w:val="Ttulo3"/>
        <w:spacing w:after="0"/>
      </w:pPr>
      <w:bookmarkStart w:id="19" w:name="_Toc500163679"/>
      <w:r>
        <w:t>Subvariables</w:t>
      </w:r>
      <w:bookmarkEnd w:id="19"/>
    </w:p>
    <w:p w:rsidR="000030B4" w:rsidRPr="000030B4" w:rsidRDefault="000030B4" w:rsidP="000030B4">
      <w:pPr>
        <w:rPr>
          <w:lang w:eastAsia="zh-TW"/>
        </w:rPr>
      </w:pPr>
    </w:p>
    <w:tbl>
      <w:tblPr>
        <w:tblW w:w="5080" w:type="pct"/>
        <w:jc w:val="center"/>
        <w:tblCellMar>
          <w:left w:w="0" w:type="dxa"/>
          <w:right w:w="0" w:type="dxa"/>
        </w:tblCellMar>
        <w:tblLook w:val="0600" w:firstRow="0" w:lastRow="0" w:firstColumn="0" w:lastColumn="0" w:noHBand="1" w:noVBand="1"/>
      </w:tblPr>
      <w:tblGrid>
        <w:gridCol w:w="1321"/>
        <w:gridCol w:w="6660"/>
        <w:gridCol w:w="978"/>
      </w:tblGrid>
      <w:tr w:rsidR="00D9163A" w:rsidRPr="008F0309" w:rsidTr="00D155F0">
        <w:trPr>
          <w:trHeight w:val="306"/>
          <w:jc w:val="center"/>
        </w:trPr>
        <w:tc>
          <w:tcPr>
            <w:tcW w:w="737" w:type="pct"/>
            <w:tcBorders>
              <w:top w:val="single" w:sz="8" w:space="0" w:color="21526D"/>
              <w:left w:val="single" w:sz="8" w:space="0" w:color="21526D"/>
              <w:bottom w:val="single" w:sz="4" w:space="0" w:color="auto"/>
            </w:tcBorders>
            <w:shd w:val="clear" w:color="auto" w:fill="00B050"/>
            <w:tcMar>
              <w:top w:w="15" w:type="dxa"/>
              <w:left w:w="15" w:type="dxa"/>
              <w:bottom w:w="0" w:type="dxa"/>
              <w:right w:w="15" w:type="dxa"/>
            </w:tcMar>
            <w:vAlign w:val="center"/>
            <w:hideMark/>
          </w:tcPr>
          <w:p w:rsidR="00473A10" w:rsidRPr="001E18DD" w:rsidRDefault="00473A10" w:rsidP="00934637">
            <w:pPr>
              <w:jc w:val="center"/>
              <w:rPr>
                <w:rFonts w:eastAsia="Times New Roman"/>
                <w:color w:val="FFFFFF" w:themeColor="background1"/>
                <w:sz w:val="22"/>
              </w:rPr>
            </w:pPr>
            <w:r w:rsidRPr="001E18DD">
              <w:rPr>
                <w:rFonts w:eastAsia="Times New Roman"/>
                <w:color w:val="FFFFFF" w:themeColor="background1"/>
                <w:sz w:val="22"/>
              </w:rPr>
              <w:t>Subvariable</w:t>
            </w:r>
          </w:p>
        </w:tc>
        <w:tc>
          <w:tcPr>
            <w:tcW w:w="3717" w:type="pct"/>
            <w:tcBorders>
              <w:top w:val="single" w:sz="8" w:space="0" w:color="21526D"/>
              <w:bottom w:val="single" w:sz="4" w:space="0" w:color="auto"/>
            </w:tcBorders>
            <w:shd w:val="clear" w:color="auto" w:fill="00B050"/>
            <w:vAlign w:val="center"/>
          </w:tcPr>
          <w:p w:rsidR="00473A10" w:rsidRPr="001E18DD" w:rsidRDefault="00473A10" w:rsidP="00934637">
            <w:pPr>
              <w:jc w:val="center"/>
              <w:rPr>
                <w:rFonts w:eastAsia="Times New Roman"/>
                <w:color w:val="FFFFFF" w:themeColor="background1"/>
                <w:sz w:val="22"/>
              </w:rPr>
            </w:pPr>
            <w:r w:rsidRPr="001E18DD">
              <w:rPr>
                <w:rFonts w:eastAsia="Times New Roman"/>
                <w:color w:val="FFFFFF" w:themeColor="background1"/>
                <w:sz w:val="22"/>
              </w:rPr>
              <w:t>Definición</w:t>
            </w:r>
          </w:p>
        </w:tc>
        <w:tc>
          <w:tcPr>
            <w:tcW w:w="546" w:type="pct"/>
            <w:tcBorders>
              <w:top w:val="single" w:sz="8" w:space="0" w:color="21526D"/>
              <w:bottom w:val="single" w:sz="4" w:space="0" w:color="auto"/>
              <w:right w:val="single" w:sz="8" w:space="0" w:color="21526D"/>
            </w:tcBorders>
            <w:shd w:val="clear" w:color="auto" w:fill="00B050"/>
            <w:vAlign w:val="center"/>
          </w:tcPr>
          <w:p w:rsidR="00473A10" w:rsidRPr="001E18DD" w:rsidRDefault="00473A10" w:rsidP="00934637">
            <w:pPr>
              <w:jc w:val="center"/>
              <w:rPr>
                <w:rFonts w:eastAsia="Times New Roman"/>
                <w:color w:val="FFFFFF" w:themeColor="background1"/>
                <w:sz w:val="22"/>
              </w:rPr>
            </w:pPr>
            <w:r w:rsidRPr="001E18DD">
              <w:rPr>
                <w:rFonts w:eastAsia="Times New Roman"/>
                <w:color w:val="FFFFFF" w:themeColor="background1"/>
                <w:sz w:val="22"/>
              </w:rPr>
              <w:t>Rango</w:t>
            </w:r>
          </w:p>
        </w:tc>
      </w:tr>
      <w:tr w:rsidR="00D20C14" w:rsidRPr="008F0309" w:rsidTr="00D155F0">
        <w:trPr>
          <w:trHeight w:val="2430"/>
          <w:jc w:val="center"/>
        </w:trPr>
        <w:tc>
          <w:tcPr>
            <w:tcW w:w="737" w:type="pct"/>
            <w:tcBorders>
              <w:top w:val="single" w:sz="4" w:space="0" w:color="auto"/>
              <w:left w:val="single" w:sz="4" w:space="0" w:color="auto"/>
            </w:tcBorders>
            <w:shd w:val="clear" w:color="auto" w:fill="D9D9D9" w:themeFill="background1" w:themeFillShade="D9"/>
            <w:tcMar>
              <w:top w:w="15" w:type="dxa"/>
              <w:left w:w="15" w:type="dxa"/>
              <w:bottom w:w="0" w:type="dxa"/>
              <w:right w:w="15" w:type="dxa"/>
            </w:tcMar>
            <w:vAlign w:val="center"/>
            <w:hideMark/>
          </w:tcPr>
          <w:p w:rsidR="00473A10" w:rsidRPr="001E18DD" w:rsidRDefault="00473A10" w:rsidP="000030B4">
            <w:pPr>
              <w:spacing w:after="0"/>
              <w:jc w:val="center"/>
              <w:rPr>
                <w:sz w:val="22"/>
              </w:rPr>
            </w:pPr>
            <w:r w:rsidRPr="001E18DD">
              <w:rPr>
                <w:sz w:val="22"/>
              </w:rPr>
              <w:t>incm</w:t>
            </w:r>
          </w:p>
        </w:tc>
        <w:tc>
          <w:tcPr>
            <w:tcW w:w="3717" w:type="pct"/>
            <w:tcBorders>
              <w:top w:val="single" w:sz="4" w:space="0" w:color="auto"/>
            </w:tcBorders>
            <w:shd w:val="clear" w:color="auto" w:fill="D9D9D9" w:themeFill="background1" w:themeFillShade="D9"/>
          </w:tcPr>
          <w:p w:rsidR="00473A10" w:rsidRPr="001E18DD" w:rsidRDefault="00473A10" w:rsidP="000030B4">
            <w:pPr>
              <w:spacing w:after="0"/>
              <w:ind w:left="174" w:right="141"/>
              <w:rPr>
                <w:sz w:val="22"/>
              </w:rPr>
            </w:pPr>
            <w:r w:rsidRPr="001E18DD">
              <w:rPr>
                <w:sz w:val="22"/>
              </w:rPr>
              <w:t xml:space="preserve"> Metas que presentan inconsistencias en relación con el método de cálculo especificado para la variable por las Dependencias Coordinadoras de los Fondos de Aportaciones Federales o la Unidad Responsable</w:t>
            </w:r>
            <w:r w:rsidR="006518E2">
              <w:rPr>
                <w:rStyle w:val="Refdenotaalpie"/>
                <w:sz w:val="22"/>
              </w:rPr>
              <w:footnoteReference w:id="17"/>
            </w:r>
            <w:r w:rsidRPr="001E18DD">
              <w:rPr>
                <w:sz w:val="22"/>
              </w:rPr>
              <w:t xml:space="preserve"> correspondiente. </w:t>
            </w:r>
            <w:r w:rsidR="001B05D8" w:rsidRPr="001E18DD">
              <w:rPr>
                <w:sz w:val="22"/>
              </w:rPr>
              <w:t>Únicamente se revisa que el resultado capturado se encuentre en los términos estipulados por el método de cálculo, pues los errores en los cálculos son responsabilidad de los ejecutores.</w:t>
            </w:r>
          </w:p>
        </w:tc>
        <w:tc>
          <w:tcPr>
            <w:tcW w:w="546" w:type="pct"/>
            <w:tcBorders>
              <w:top w:val="single" w:sz="4" w:space="0" w:color="auto"/>
              <w:right w:val="single" w:sz="4" w:space="0" w:color="auto"/>
            </w:tcBorders>
            <w:shd w:val="clear" w:color="auto" w:fill="D9D9D9" w:themeFill="background1" w:themeFillShade="D9"/>
            <w:vAlign w:val="center"/>
          </w:tcPr>
          <w:p w:rsidR="00473A10" w:rsidRPr="001E18DD" w:rsidRDefault="00473A10" w:rsidP="000030B4">
            <w:pPr>
              <w:spacing w:after="0"/>
              <w:jc w:val="center"/>
              <w:rPr>
                <w:sz w:val="22"/>
              </w:rPr>
            </w:pPr>
            <w:r w:rsidRPr="001E18DD">
              <w:rPr>
                <w:sz w:val="22"/>
              </w:rPr>
              <w:t>(0-tm)</w:t>
            </w:r>
          </w:p>
        </w:tc>
      </w:tr>
      <w:tr w:rsidR="00D20C14" w:rsidRPr="008F0309" w:rsidTr="00D155F0">
        <w:trPr>
          <w:trHeight w:val="283"/>
          <w:jc w:val="center"/>
        </w:trPr>
        <w:tc>
          <w:tcPr>
            <w:tcW w:w="737" w:type="pct"/>
            <w:tcBorders>
              <w:left w:val="single" w:sz="4" w:space="0" w:color="auto"/>
            </w:tcBorders>
            <w:shd w:val="clear" w:color="auto" w:fill="FFFFFF" w:themeFill="background1"/>
            <w:tcMar>
              <w:top w:w="15" w:type="dxa"/>
              <w:left w:w="15" w:type="dxa"/>
              <w:bottom w:w="0" w:type="dxa"/>
              <w:right w:w="15" w:type="dxa"/>
            </w:tcMar>
            <w:vAlign w:val="center"/>
            <w:hideMark/>
          </w:tcPr>
          <w:p w:rsidR="00473A10" w:rsidRPr="001E18DD" w:rsidRDefault="00473A10" w:rsidP="000030B4">
            <w:pPr>
              <w:spacing w:after="0"/>
              <w:jc w:val="center"/>
              <w:rPr>
                <w:sz w:val="22"/>
              </w:rPr>
            </w:pPr>
            <w:r w:rsidRPr="001E18DD">
              <w:rPr>
                <w:sz w:val="22"/>
              </w:rPr>
              <w:t>mnr</w:t>
            </w:r>
          </w:p>
        </w:tc>
        <w:tc>
          <w:tcPr>
            <w:tcW w:w="3717" w:type="pct"/>
            <w:shd w:val="clear" w:color="auto" w:fill="FFFFFF" w:themeFill="background1"/>
          </w:tcPr>
          <w:p w:rsidR="00473A10" w:rsidRPr="001E18DD" w:rsidRDefault="00473A10" w:rsidP="000030B4">
            <w:pPr>
              <w:spacing w:after="0"/>
              <w:ind w:left="174" w:right="141"/>
              <w:rPr>
                <w:sz w:val="22"/>
              </w:rPr>
            </w:pPr>
            <w:r w:rsidRPr="001E18DD">
              <w:rPr>
                <w:sz w:val="22"/>
              </w:rPr>
              <w:t xml:space="preserve"> </w:t>
            </w:r>
            <w:r w:rsidR="001B05D8" w:rsidRPr="001E18DD">
              <w:rPr>
                <w:sz w:val="22"/>
              </w:rPr>
              <w:t>Metas que no han sido reportadas.</w:t>
            </w:r>
            <w:r w:rsidR="00D9163A" w:rsidRPr="001E18DD">
              <w:rPr>
                <w:sz w:val="22"/>
              </w:rPr>
              <w:t xml:space="preserve"> Independientemente de la periodicidad del indicador, la totalidad de las metas para todos los indicadores debería reportarse desde el primer trimestre del año correspondiente.</w:t>
            </w:r>
          </w:p>
        </w:tc>
        <w:tc>
          <w:tcPr>
            <w:tcW w:w="546" w:type="pct"/>
            <w:tcBorders>
              <w:right w:val="single" w:sz="4" w:space="0" w:color="auto"/>
            </w:tcBorders>
            <w:shd w:val="clear" w:color="auto" w:fill="FFFFFF" w:themeFill="background1"/>
            <w:vAlign w:val="center"/>
          </w:tcPr>
          <w:p w:rsidR="00473A10" w:rsidRPr="001E18DD" w:rsidRDefault="00473A10" w:rsidP="000030B4">
            <w:pPr>
              <w:spacing w:after="0"/>
              <w:jc w:val="center"/>
              <w:rPr>
                <w:sz w:val="22"/>
              </w:rPr>
            </w:pPr>
            <w:r w:rsidRPr="001E18DD">
              <w:rPr>
                <w:sz w:val="22"/>
              </w:rPr>
              <w:t>(0-tm)</w:t>
            </w:r>
          </w:p>
        </w:tc>
      </w:tr>
      <w:tr w:rsidR="00D20C14" w:rsidRPr="008F0309" w:rsidTr="00D155F0">
        <w:trPr>
          <w:trHeight w:val="232"/>
          <w:jc w:val="center"/>
        </w:trPr>
        <w:tc>
          <w:tcPr>
            <w:tcW w:w="737" w:type="pct"/>
            <w:tcBorders>
              <w:left w:val="single" w:sz="4" w:space="0" w:color="auto"/>
            </w:tcBorders>
            <w:shd w:val="clear" w:color="auto" w:fill="D9D9D9" w:themeFill="background1" w:themeFillShade="D9"/>
            <w:tcMar>
              <w:top w:w="15" w:type="dxa"/>
              <w:left w:w="15" w:type="dxa"/>
              <w:bottom w:w="0" w:type="dxa"/>
              <w:right w:w="15" w:type="dxa"/>
            </w:tcMar>
            <w:vAlign w:val="center"/>
            <w:hideMark/>
          </w:tcPr>
          <w:p w:rsidR="00473A10" w:rsidRPr="001E18DD" w:rsidRDefault="00D9163A" w:rsidP="000030B4">
            <w:pPr>
              <w:spacing w:after="0"/>
              <w:jc w:val="center"/>
              <w:rPr>
                <w:sz w:val="22"/>
              </w:rPr>
            </w:pPr>
            <w:r w:rsidRPr="001E18DD">
              <w:rPr>
                <w:sz w:val="22"/>
              </w:rPr>
              <w:t>i</w:t>
            </w:r>
            <w:r w:rsidR="00473A10" w:rsidRPr="001E18DD">
              <w:rPr>
                <w:sz w:val="22"/>
              </w:rPr>
              <w:t>nca</w:t>
            </w:r>
          </w:p>
        </w:tc>
        <w:tc>
          <w:tcPr>
            <w:tcW w:w="3717" w:type="pct"/>
            <w:shd w:val="clear" w:color="auto" w:fill="D9D9D9" w:themeFill="background1" w:themeFillShade="D9"/>
          </w:tcPr>
          <w:p w:rsidR="00473A10" w:rsidRPr="001E18DD" w:rsidRDefault="00473A10" w:rsidP="000030B4">
            <w:pPr>
              <w:spacing w:after="0"/>
              <w:ind w:left="174" w:right="141"/>
              <w:rPr>
                <w:sz w:val="22"/>
              </w:rPr>
            </w:pPr>
            <w:r w:rsidRPr="001E18DD">
              <w:rPr>
                <w:sz w:val="22"/>
              </w:rPr>
              <w:t xml:space="preserve"> </w:t>
            </w:r>
            <w:r w:rsidR="00D9163A" w:rsidRPr="001E18DD">
              <w:rPr>
                <w:sz w:val="22"/>
              </w:rPr>
              <w:t>Avances que presentan inconsistencias en relación con el método de cálculo especificado para la variable por las Dependencias Coordinadoras de los Fondos de Aportaciones Federales o la Unidad Responsable correspondiente.</w:t>
            </w:r>
          </w:p>
        </w:tc>
        <w:tc>
          <w:tcPr>
            <w:tcW w:w="546" w:type="pct"/>
            <w:tcBorders>
              <w:right w:val="single" w:sz="4" w:space="0" w:color="auto"/>
            </w:tcBorders>
            <w:shd w:val="clear" w:color="auto" w:fill="D9D9D9" w:themeFill="background1" w:themeFillShade="D9"/>
            <w:vAlign w:val="center"/>
          </w:tcPr>
          <w:p w:rsidR="00473A10" w:rsidRPr="001E18DD" w:rsidRDefault="00473A10" w:rsidP="000030B4">
            <w:pPr>
              <w:spacing w:after="0"/>
              <w:jc w:val="center"/>
              <w:rPr>
                <w:sz w:val="22"/>
              </w:rPr>
            </w:pPr>
            <w:r w:rsidRPr="001E18DD">
              <w:rPr>
                <w:sz w:val="22"/>
              </w:rPr>
              <w:t>(0-ta)</w:t>
            </w:r>
          </w:p>
        </w:tc>
      </w:tr>
      <w:tr w:rsidR="00D20C14" w:rsidRPr="008F0309" w:rsidTr="00D155F0">
        <w:trPr>
          <w:trHeight w:val="283"/>
          <w:jc w:val="center"/>
        </w:trPr>
        <w:tc>
          <w:tcPr>
            <w:tcW w:w="737" w:type="pct"/>
            <w:tcBorders>
              <w:left w:val="single" w:sz="4" w:space="0" w:color="auto"/>
              <w:bottom w:val="single" w:sz="4" w:space="0" w:color="auto"/>
            </w:tcBorders>
            <w:shd w:val="clear" w:color="auto" w:fill="FFFFFF" w:themeFill="background1"/>
            <w:tcMar>
              <w:top w:w="15" w:type="dxa"/>
              <w:left w:w="15" w:type="dxa"/>
              <w:bottom w:w="0" w:type="dxa"/>
              <w:right w:w="15" w:type="dxa"/>
            </w:tcMar>
            <w:vAlign w:val="center"/>
            <w:hideMark/>
          </w:tcPr>
          <w:p w:rsidR="00473A10" w:rsidRPr="001E18DD" w:rsidRDefault="00473A10" w:rsidP="000030B4">
            <w:pPr>
              <w:spacing w:after="0"/>
              <w:jc w:val="center"/>
              <w:rPr>
                <w:sz w:val="22"/>
              </w:rPr>
            </w:pPr>
            <w:r w:rsidRPr="001E18DD">
              <w:rPr>
                <w:sz w:val="22"/>
              </w:rPr>
              <w:t>anr</w:t>
            </w:r>
          </w:p>
        </w:tc>
        <w:tc>
          <w:tcPr>
            <w:tcW w:w="3717" w:type="pct"/>
            <w:tcBorders>
              <w:bottom w:val="single" w:sz="4" w:space="0" w:color="auto"/>
            </w:tcBorders>
            <w:shd w:val="clear" w:color="auto" w:fill="FFFFFF" w:themeFill="background1"/>
          </w:tcPr>
          <w:p w:rsidR="00473A10" w:rsidRPr="001E18DD" w:rsidRDefault="00D20C14" w:rsidP="000030B4">
            <w:pPr>
              <w:spacing w:after="0"/>
              <w:ind w:left="174" w:right="141"/>
              <w:rPr>
                <w:sz w:val="22"/>
              </w:rPr>
            </w:pPr>
            <w:r w:rsidRPr="001E18DD">
              <w:rPr>
                <w:sz w:val="22"/>
              </w:rPr>
              <w:t>Avances que no fueron reportadas en el per</w:t>
            </w:r>
            <w:r w:rsidR="00D27BD2">
              <w:rPr>
                <w:sz w:val="22"/>
              </w:rPr>
              <w:t>i</w:t>
            </w:r>
            <w:r w:rsidRPr="001E18DD">
              <w:rPr>
                <w:sz w:val="22"/>
              </w:rPr>
              <w:t>odo correspondiente. En este caso, la captura de indicadores se sujeta estrictamente a la periodicidad de los indicadores definida por las Dependencias Coordinadoras de los Fondos de Aportaciones Federales o la Unidad Responsable correspondiente.</w:t>
            </w:r>
          </w:p>
        </w:tc>
        <w:tc>
          <w:tcPr>
            <w:tcW w:w="546" w:type="pct"/>
            <w:tcBorders>
              <w:bottom w:val="single" w:sz="4" w:space="0" w:color="auto"/>
              <w:right w:val="single" w:sz="4" w:space="0" w:color="auto"/>
            </w:tcBorders>
            <w:shd w:val="clear" w:color="auto" w:fill="FFFFFF" w:themeFill="background1"/>
            <w:vAlign w:val="center"/>
          </w:tcPr>
          <w:p w:rsidR="00473A10" w:rsidRPr="001E18DD" w:rsidRDefault="00473A10" w:rsidP="000030B4">
            <w:pPr>
              <w:spacing w:after="0"/>
              <w:jc w:val="center"/>
              <w:rPr>
                <w:sz w:val="22"/>
              </w:rPr>
            </w:pPr>
            <w:r w:rsidRPr="001E18DD">
              <w:rPr>
                <w:sz w:val="22"/>
              </w:rPr>
              <w:t>(0-ta)</w:t>
            </w:r>
          </w:p>
        </w:tc>
      </w:tr>
    </w:tbl>
    <w:p w:rsidR="00473A10" w:rsidRPr="00473A10" w:rsidRDefault="00473A10" w:rsidP="00852D19">
      <w:pPr>
        <w:rPr>
          <w:lang w:eastAsia="zh-TW"/>
        </w:rPr>
      </w:pPr>
    </w:p>
    <w:p w:rsidR="003070AA" w:rsidRPr="00642E51" w:rsidRDefault="00540A58" w:rsidP="00852D19">
      <w:pPr>
        <w:pStyle w:val="Ttulo3"/>
      </w:pPr>
      <w:bookmarkStart w:id="20" w:name="_Toc500163680"/>
      <w:r>
        <w:t>Periodicidad de los indicadores</w:t>
      </w:r>
      <w:r w:rsidR="003070AA" w:rsidRPr="00642E51">
        <w:t>.</w:t>
      </w:r>
      <w:bookmarkEnd w:id="20"/>
    </w:p>
    <w:p w:rsidR="00A92DC3" w:rsidRDefault="00540A58" w:rsidP="00852D19">
      <w:r>
        <w:t>E</w:t>
      </w:r>
      <w:r w:rsidR="00A92DC3">
        <w:t xml:space="preserve">l registro de los avances de los indicadores, así como el número de metas que se deben registrar en el año está en función de la periodicidad definida </w:t>
      </w:r>
      <w:r>
        <w:t xml:space="preserve">en </w:t>
      </w:r>
      <w:r w:rsidR="00A92DC3">
        <w:t>el indicador. Como se muestra en la tabla siguiente, durante el primer trimestre se deberán establecer todas las metas</w:t>
      </w:r>
      <w:r>
        <w:t xml:space="preserve"> y e</w:t>
      </w:r>
      <w:r w:rsidR="00A92DC3">
        <w:t>n caso de omitir algún registro, se tomará en cuenta para la variable de metas no registradas</w:t>
      </w:r>
      <w:r>
        <w:t xml:space="preserve"> (mnr)</w:t>
      </w:r>
      <w:r w:rsidR="00E621EB">
        <w:t>. Por su parte, para el caso de los avances, se deben registrar conforme a la periodicidad. En caso de que en determinado trimestre no se tenga que registrar  avance</w:t>
      </w:r>
      <w:r w:rsidR="007F20E0">
        <w:t xml:space="preserve"> de un determinado indicador</w:t>
      </w:r>
      <w:r w:rsidR="00E621EB">
        <w:t xml:space="preserve">, éste no se tomará en cuenta para el cálculo </w:t>
      </w:r>
      <w:r w:rsidR="007F20E0">
        <w:t>de la variable</w:t>
      </w:r>
      <w:r w:rsidR="00E621EB">
        <w:t>, es decir, no se sumará en el numerador ni el denominador de la fórmula, por lo que no afectará la calidad en la información y, por tanto, la valoración en el índice.</w:t>
      </w:r>
    </w:p>
    <w:tbl>
      <w:tblPr>
        <w:tblW w:w="9083" w:type="dxa"/>
        <w:tblInd w:w="55" w:type="dxa"/>
        <w:tblBorders>
          <w:top w:val="single" w:sz="4" w:space="0" w:color="21526D"/>
          <w:left w:val="single" w:sz="4" w:space="0" w:color="21526D"/>
          <w:bottom w:val="single" w:sz="4" w:space="0" w:color="21526D"/>
          <w:right w:val="single" w:sz="4" w:space="0" w:color="21526D"/>
        </w:tblBorders>
        <w:tblCellMar>
          <w:left w:w="70" w:type="dxa"/>
          <w:right w:w="70" w:type="dxa"/>
        </w:tblCellMar>
        <w:tblLook w:val="04A0" w:firstRow="1" w:lastRow="0" w:firstColumn="1" w:lastColumn="0" w:noHBand="0" w:noVBand="1"/>
      </w:tblPr>
      <w:tblGrid>
        <w:gridCol w:w="1454"/>
        <w:gridCol w:w="2834"/>
        <w:gridCol w:w="2551"/>
        <w:gridCol w:w="2244"/>
      </w:tblGrid>
      <w:tr w:rsidR="00A92DC3" w:rsidRPr="001D1C93" w:rsidTr="00166D0E">
        <w:trPr>
          <w:trHeight w:val="188"/>
        </w:trPr>
        <w:tc>
          <w:tcPr>
            <w:tcW w:w="1454" w:type="dxa"/>
            <w:vMerge w:val="restart"/>
            <w:shd w:val="clear" w:color="auto" w:fill="595959" w:themeFill="text1" w:themeFillTint="A6"/>
            <w:noWrap/>
            <w:vAlign w:val="center"/>
            <w:hideMark/>
          </w:tcPr>
          <w:p w:rsidR="00D155F0" w:rsidRDefault="00D155F0" w:rsidP="00934637">
            <w:pPr>
              <w:jc w:val="center"/>
              <w:rPr>
                <w:color w:val="FFFFFF" w:themeColor="background1"/>
                <w:sz w:val="22"/>
              </w:rPr>
            </w:pPr>
          </w:p>
          <w:p w:rsidR="00A92DC3" w:rsidRPr="00934637" w:rsidRDefault="00A92DC3" w:rsidP="00934637">
            <w:pPr>
              <w:jc w:val="center"/>
              <w:rPr>
                <w:color w:val="FFFFFF" w:themeColor="background1"/>
                <w:sz w:val="22"/>
              </w:rPr>
            </w:pPr>
            <w:r w:rsidRPr="00934637">
              <w:rPr>
                <w:color w:val="FFFFFF" w:themeColor="background1"/>
                <w:sz w:val="22"/>
              </w:rPr>
              <w:t>Trimestre</w:t>
            </w:r>
          </w:p>
        </w:tc>
        <w:tc>
          <w:tcPr>
            <w:tcW w:w="7629" w:type="dxa"/>
            <w:gridSpan w:val="3"/>
            <w:shd w:val="clear" w:color="auto" w:fill="595959" w:themeFill="text1" w:themeFillTint="A6"/>
            <w:noWrap/>
            <w:vAlign w:val="center"/>
            <w:hideMark/>
          </w:tcPr>
          <w:p w:rsidR="00A92DC3" w:rsidRPr="00934637" w:rsidRDefault="00A92DC3" w:rsidP="00934637">
            <w:pPr>
              <w:jc w:val="center"/>
              <w:rPr>
                <w:color w:val="FFFFFF" w:themeColor="background1"/>
                <w:sz w:val="22"/>
              </w:rPr>
            </w:pPr>
            <w:r w:rsidRPr="00934637">
              <w:rPr>
                <w:color w:val="FFFFFF" w:themeColor="background1"/>
                <w:sz w:val="22"/>
              </w:rPr>
              <w:t>Acciones</w:t>
            </w:r>
          </w:p>
        </w:tc>
      </w:tr>
      <w:tr w:rsidR="00E621EB" w:rsidRPr="001D1C93" w:rsidTr="00166D0E">
        <w:trPr>
          <w:trHeight w:val="300"/>
        </w:trPr>
        <w:tc>
          <w:tcPr>
            <w:tcW w:w="1454" w:type="dxa"/>
            <w:vMerge/>
            <w:shd w:val="clear" w:color="auto" w:fill="00B050"/>
            <w:noWrap/>
            <w:vAlign w:val="center"/>
          </w:tcPr>
          <w:p w:rsidR="00A92DC3" w:rsidRPr="00934637" w:rsidRDefault="00A92DC3" w:rsidP="00934637">
            <w:pPr>
              <w:jc w:val="center"/>
              <w:rPr>
                <w:color w:val="FFFFFF" w:themeColor="background1"/>
                <w:sz w:val="22"/>
              </w:rPr>
            </w:pPr>
          </w:p>
        </w:tc>
        <w:tc>
          <w:tcPr>
            <w:tcW w:w="2834" w:type="dxa"/>
            <w:shd w:val="clear" w:color="auto" w:fill="00B050"/>
            <w:noWrap/>
            <w:vAlign w:val="center"/>
          </w:tcPr>
          <w:p w:rsidR="00A92DC3" w:rsidRPr="00934637" w:rsidRDefault="00A92DC3" w:rsidP="00934637">
            <w:pPr>
              <w:jc w:val="center"/>
              <w:rPr>
                <w:color w:val="FFFFFF" w:themeColor="background1"/>
                <w:sz w:val="22"/>
              </w:rPr>
            </w:pPr>
            <w:r w:rsidRPr="00934637">
              <w:rPr>
                <w:color w:val="FFFFFF" w:themeColor="background1"/>
                <w:sz w:val="22"/>
              </w:rPr>
              <w:t>Indicadores trimestrales</w:t>
            </w:r>
          </w:p>
        </w:tc>
        <w:tc>
          <w:tcPr>
            <w:tcW w:w="2551" w:type="dxa"/>
            <w:shd w:val="clear" w:color="auto" w:fill="00B050"/>
            <w:vAlign w:val="center"/>
          </w:tcPr>
          <w:p w:rsidR="00A92DC3" w:rsidRPr="00934637" w:rsidRDefault="00A92DC3" w:rsidP="00934637">
            <w:pPr>
              <w:jc w:val="center"/>
              <w:rPr>
                <w:color w:val="FFFFFF" w:themeColor="background1"/>
                <w:sz w:val="22"/>
              </w:rPr>
            </w:pPr>
            <w:r w:rsidRPr="00934637">
              <w:rPr>
                <w:color w:val="FFFFFF" w:themeColor="background1"/>
                <w:sz w:val="22"/>
              </w:rPr>
              <w:t>Indicadores semestrales</w:t>
            </w:r>
          </w:p>
        </w:tc>
        <w:tc>
          <w:tcPr>
            <w:tcW w:w="2244" w:type="dxa"/>
            <w:shd w:val="clear" w:color="auto" w:fill="00B050"/>
            <w:vAlign w:val="center"/>
          </w:tcPr>
          <w:p w:rsidR="00A92DC3" w:rsidRPr="00934637" w:rsidRDefault="00A92DC3" w:rsidP="00934637">
            <w:pPr>
              <w:jc w:val="center"/>
              <w:rPr>
                <w:color w:val="FFFFFF" w:themeColor="background1"/>
                <w:sz w:val="22"/>
              </w:rPr>
            </w:pPr>
            <w:r w:rsidRPr="00934637">
              <w:rPr>
                <w:color w:val="FFFFFF" w:themeColor="background1"/>
                <w:sz w:val="22"/>
              </w:rPr>
              <w:t>Indicadores anuales</w:t>
            </w:r>
          </w:p>
        </w:tc>
      </w:tr>
      <w:tr w:rsidR="00A92DC3" w:rsidRPr="00934637" w:rsidTr="00166D0E">
        <w:trPr>
          <w:trHeight w:val="854"/>
        </w:trPr>
        <w:tc>
          <w:tcPr>
            <w:tcW w:w="1454" w:type="dxa"/>
            <w:shd w:val="clear" w:color="auto" w:fill="00B050"/>
            <w:noWrap/>
            <w:vAlign w:val="center"/>
            <w:hideMark/>
          </w:tcPr>
          <w:p w:rsidR="00A92DC3" w:rsidRPr="00934637" w:rsidRDefault="00A92DC3" w:rsidP="00934637">
            <w:pPr>
              <w:jc w:val="center"/>
              <w:rPr>
                <w:color w:val="FFFFFF" w:themeColor="background1"/>
                <w:sz w:val="22"/>
              </w:rPr>
            </w:pPr>
            <w:r w:rsidRPr="00934637">
              <w:rPr>
                <w:color w:val="FFFFFF" w:themeColor="background1"/>
                <w:sz w:val="22"/>
              </w:rPr>
              <w:t>Primer Trimestre</w:t>
            </w:r>
          </w:p>
        </w:tc>
        <w:tc>
          <w:tcPr>
            <w:tcW w:w="2834" w:type="dxa"/>
            <w:shd w:val="clear" w:color="auto" w:fill="D9D9D9" w:themeFill="background1" w:themeFillShade="D9"/>
            <w:noWrap/>
            <w:hideMark/>
          </w:tcPr>
          <w:p w:rsidR="00A92DC3" w:rsidRPr="00934637" w:rsidRDefault="00A92DC3" w:rsidP="00464163">
            <w:pPr>
              <w:ind w:right="215"/>
              <w:rPr>
                <w:sz w:val="22"/>
              </w:rPr>
            </w:pPr>
            <w:r w:rsidRPr="00934637">
              <w:rPr>
                <w:sz w:val="22"/>
              </w:rPr>
              <w:t>Establecer todas las metas y capturar el avance de los indicadores trimestrales</w:t>
            </w:r>
          </w:p>
        </w:tc>
        <w:tc>
          <w:tcPr>
            <w:tcW w:w="2551" w:type="dxa"/>
            <w:shd w:val="clear" w:color="auto" w:fill="D9D9D9" w:themeFill="background1" w:themeFillShade="D9"/>
            <w:noWrap/>
            <w:hideMark/>
          </w:tcPr>
          <w:p w:rsidR="00A92DC3" w:rsidRPr="00934637" w:rsidRDefault="00A92DC3" w:rsidP="00464163">
            <w:pPr>
              <w:ind w:right="215"/>
              <w:rPr>
                <w:sz w:val="22"/>
              </w:rPr>
            </w:pPr>
            <w:r w:rsidRPr="00934637">
              <w:rPr>
                <w:sz w:val="22"/>
              </w:rPr>
              <w:t>Establecer todas las metas de indicadores semestrales</w:t>
            </w:r>
          </w:p>
        </w:tc>
        <w:tc>
          <w:tcPr>
            <w:tcW w:w="2244" w:type="dxa"/>
            <w:shd w:val="clear" w:color="auto" w:fill="D9D9D9" w:themeFill="background1" w:themeFillShade="D9"/>
            <w:noWrap/>
            <w:hideMark/>
          </w:tcPr>
          <w:p w:rsidR="00A92DC3" w:rsidRPr="00934637" w:rsidRDefault="00A92DC3" w:rsidP="00464163">
            <w:pPr>
              <w:rPr>
                <w:sz w:val="22"/>
              </w:rPr>
            </w:pPr>
            <w:r w:rsidRPr="00934637">
              <w:rPr>
                <w:sz w:val="22"/>
              </w:rPr>
              <w:t>Establecer la meta de indicadores anuales</w:t>
            </w:r>
          </w:p>
        </w:tc>
      </w:tr>
      <w:tr w:rsidR="00A92DC3" w:rsidRPr="00934637" w:rsidTr="00166D0E">
        <w:trPr>
          <w:trHeight w:val="300"/>
        </w:trPr>
        <w:tc>
          <w:tcPr>
            <w:tcW w:w="1454" w:type="dxa"/>
            <w:shd w:val="clear" w:color="auto" w:fill="00B050"/>
            <w:noWrap/>
            <w:vAlign w:val="center"/>
            <w:hideMark/>
          </w:tcPr>
          <w:p w:rsidR="00A92DC3" w:rsidRPr="00934637" w:rsidRDefault="00A92DC3" w:rsidP="00934637">
            <w:pPr>
              <w:jc w:val="center"/>
              <w:rPr>
                <w:color w:val="FFFFFF" w:themeColor="background1"/>
                <w:sz w:val="22"/>
              </w:rPr>
            </w:pPr>
            <w:r w:rsidRPr="00934637">
              <w:rPr>
                <w:color w:val="FFFFFF" w:themeColor="background1"/>
                <w:sz w:val="22"/>
              </w:rPr>
              <w:t>Segundo trimestre</w:t>
            </w:r>
          </w:p>
        </w:tc>
        <w:tc>
          <w:tcPr>
            <w:tcW w:w="2834" w:type="dxa"/>
            <w:shd w:val="clear" w:color="auto" w:fill="auto"/>
            <w:noWrap/>
            <w:hideMark/>
          </w:tcPr>
          <w:p w:rsidR="00A92DC3" w:rsidRPr="00934637" w:rsidRDefault="00E621EB" w:rsidP="00464163">
            <w:pPr>
              <w:ind w:right="215"/>
              <w:rPr>
                <w:sz w:val="22"/>
              </w:rPr>
            </w:pPr>
            <w:r w:rsidRPr="00934637">
              <w:rPr>
                <w:sz w:val="22"/>
              </w:rPr>
              <w:t>Reportar el a</w:t>
            </w:r>
            <w:r w:rsidR="00A92DC3" w:rsidRPr="00934637">
              <w:rPr>
                <w:sz w:val="22"/>
              </w:rPr>
              <w:t>vance de indicadores con frecuencia trimestral</w:t>
            </w:r>
          </w:p>
        </w:tc>
        <w:tc>
          <w:tcPr>
            <w:tcW w:w="2551" w:type="dxa"/>
            <w:shd w:val="clear" w:color="auto" w:fill="auto"/>
            <w:noWrap/>
            <w:hideMark/>
          </w:tcPr>
          <w:p w:rsidR="00A92DC3" w:rsidRPr="00934637" w:rsidRDefault="00E621EB" w:rsidP="00464163">
            <w:pPr>
              <w:ind w:right="215"/>
              <w:rPr>
                <w:sz w:val="22"/>
              </w:rPr>
            </w:pPr>
            <w:r w:rsidRPr="00934637">
              <w:rPr>
                <w:sz w:val="22"/>
              </w:rPr>
              <w:t>Reportar el a</w:t>
            </w:r>
            <w:r w:rsidR="00A92DC3" w:rsidRPr="00934637">
              <w:rPr>
                <w:sz w:val="22"/>
              </w:rPr>
              <w:t>vance de indicadores con frecuencia semestral</w:t>
            </w:r>
          </w:p>
        </w:tc>
        <w:tc>
          <w:tcPr>
            <w:tcW w:w="2244" w:type="dxa"/>
            <w:shd w:val="clear" w:color="auto" w:fill="auto"/>
            <w:noWrap/>
            <w:hideMark/>
          </w:tcPr>
          <w:p w:rsidR="00A92DC3" w:rsidRPr="00934637" w:rsidRDefault="00A92DC3" w:rsidP="00464163">
            <w:pPr>
              <w:rPr>
                <w:sz w:val="22"/>
              </w:rPr>
            </w:pPr>
          </w:p>
        </w:tc>
      </w:tr>
      <w:tr w:rsidR="00A92DC3" w:rsidRPr="00934637" w:rsidTr="00166D0E">
        <w:trPr>
          <w:trHeight w:val="300"/>
        </w:trPr>
        <w:tc>
          <w:tcPr>
            <w:tcW w:w="1454" w:type="dxa"/>
            <w:shd w:val="clear" w:color="auto" w:fill="00B050"/>
            <w:noWrap/>
            <w:vAlign w:val="center"/>
            <w:hideMark/>
          </w:tcPr>
          <w:p w:rsidR="00A92DC3" w:rsidRPr="00934637" w:rsidRDefault="00A92DC3" w:rsidP="00934637">
            <w:pPr>
              <w:jc w:val="center"/>
              <w:rPr>
                <w:color w:val="FFFFFF" w:themeColor="background1"/>
                <w:sz w:val="22"/>
              </w:rPr>
            </w:pPr>
            <w:r w:rsidRPr="00934637">
              <w:rPr>
                <w:color w:val="FFFFFF" w:themeColor="background1"/>
                <w:sz w:val="22"/>
              </w:rPr>
              <w:t>Tercer Trimestre</w:t>
            </w:r>
          </w:p>
        </w:tc>
        <w:tc>
          <w:tcPr>
            <w:tcW w:w="2834" w:type="dxa"/>
            <w:shd w:val="clear" w:color="auto" w:fill="D9D9D9" w:themeFill="background1" w:themeFillShade="D9"/>
            <w:noWrap/>
            <w:hideMark/>
          </w:tcPr>
          <w:p w:rsidR="00A92DC3" w:rsidRPr="00934637" w:rsidRDefault="00E621EB" w:rsidP="00464163">
            <w:pPr>
              <w:ind w:right="215"/>
              <w:rPr>
                <w:sz w:val="22"/>
              </w:rPr>
            </w:pPr>
            <w:r w:rsidRPr="00934637">
              <w:rPr>
                <w:sz w:val="22"/>
              </w:rPr>
              <w:t>Reportar el a</w:t>
            </w:r>
            <w:r w:rsidR="00A92DC3" w:rsidRPr="00934637">
              <w:rPr>
                <w:sz w:val="22"/>
              </w:rPr>
              <w:t>vance de indicadores con frecuencia trimestral</w:t>
            </w:r>
          </w:p>
        </w:tc>
        <w:tc>
          <w:tcPr>
            <w:tcW w:w="2551" w:type="dxa"/>
            <w:shd w:val="clear" w:color="auto" w:fill="D9D9D9" w:themeFill="background1" w:themeFillShade="D9"/>
            <w:noWrap/>
            <w:hideMark/>
          </w:tcPr>
          <w:p w:rsidR="00A92DC3" w:rsidRPr="00934637" w:rsidRDefault="00A92DC3" w:rsidP="00464163">
            <w:pPr>
              <w:ind w:right="215"/>
              <w:rPr>
                <w:sz w:val="22"/>
              </w:rPr>
            </w:pPr>
          </w:p>
        </w:tc>
        <w:tc>
          <w:tcPr>
            <w:tcW w:w="2244" w:type="dxa"/>
            <w:shd w:val="clear" w:color="auto" w:fill="D9D9D9" w:themeFill="background1" w:themeFillShade="D9"/>
            <w:noWrap/>
            <w:hideMark/>
          </w:tcPr>
          <w:p w:rsidR="00A92DC3" w:rsidRPr="00934637" w:rsidRDefault="00A92DC3" w:rsidP="00464163">
            <w:pPr>
              <w:rPr>
                <w:sz w:val="22"/>
              </w:rPr>
            </w:pPr>
          </w:p>
        </w:tc>
      </w:tr>
      <w:tr w:rsidR="00A92DC3" w:rsidRPr="00934637" w:rsidTr="00166D0E">
        <w:trPr>
          <w:trHeight w:val="300"/>
        </w:trPr>
        <w:tc>
          <w:tcPr>
            <w:tcW w:w="1454" w:type="dxa"/>
            <w:shd w:val="clear" w:color="auto" w:fill="00B050"/>
            <w:noWrap/>
            <w:vAlign w:val="center"/>
            <w:hideMark/>
          </w:tcPr>
          <w:p w:rsidR="00A92DC3" w:rsidRPr="00934637" w:rsidRDefault="00A92DC3" w:rsidP="00934637">
            <w:pPr>
              <w:jc w:val="center"/>
              <w:rPr>
                <w:color w:val="FFFFFF" w:themeColor="background1"/>
                <w:sz w:val="22"/>
              </w:rPr>
            </w:pPr>
            <w:r w:rsidRPr="00934637">
              <w:rPr>
                <w:color w:val="FFFFFF" w:themeColor="background1"/>
                <w:sz w:val="22"/>
              </w:rPr>
              <w:t>Cuarto Trimestre</w:t>
            </w:r>
          </w:p>
        </w:tc>
        <w:tc>
          <w:tcPr>
            <w:tcW w:w="2834" w:type="dxa"/>
            <w:shd w:val="clear" w:color="auto" w:fill="auto"/>
            <w:noWrap/>
            <w:hideMark/>
          </w:tcPr>
          <w:p w:rsidR="00A92DC3" w:rsidRPr="00934637" w:rsidRDefault="00E621EB" w:rsidP="00464163">
            <w:pPr>
              <w:ind w:right="215"/>
              <w:rPr>
                <w:sz w:val="22"/>
              </w:rPr>
            </w:pPr>
            <w:r w:rsidRPr="00934637">
              <w:rPr>
                <w:sz w:val="22"/>
              </w:rPr>
              <w:t>Reportar el a</w:t>
            </w:r>
            <w:r w:rsidR="00A92DC3" w:rsidRPr="00934637">
              <w:rPr>
                <w:sz w:val="22"/>
              </w:rPr>
              <w:t>vance de indicadores con frecuencia trimestral</w:t>
            </w:r>
          </w:p>
        </w:tc>
        <w:tc>
          <w:tcPr>
            <w:tcW w:w="2551" w:type="dxa"/>
            <w:shd w:val="clear" w:color="auto" w:fill="auto"/>
            <w:noWrap/>
            <w:hideMark/>
          </w:tcPr>
          <w:p w:rsidR="00A92DC3" w:rsidRPr="00934637" w:rsidRDefault="00E621EB" w:rsidP="00464163">
            <w:pPr>
              <w:ind w:right="215"/>
              <w:rPr>
                <w:sz w:val="22"/>
              </w:rPr>
            </w:pPr>
            <w:r w:rsidRPr="00934637">
              <w:rPr>
                <w:sz w:val="22"/>
              </w:rPr>
              <w:t>Reportar el a</w:t>
            </w:r>
            <w:r w:rsidR="00A92DC3" w:rsidRPr="00934637">
              <w:rPr>
                <w:sz w:val="22"/>
              </w:rPr>
              <w:t>vance de indicadores con frecuencia semestral</w:t>
            </w:r>
          </w:p>
        </w:tc>
        <w:tc>
          <w:tcPr>
            <w:tcW w:w="2244" w:type="dxa"/>
            <w:shd w:val="clear" w:color="auto" w:fill="auto"/>
            <w:noWrap/>
            <w:hideMark/>
          </w:tcPr>
          <w:p w:rsidR="00A92DC3" w:rsidRPr="00934637" w:rsidRDefault="00E621EB" w:rsidP="00464163">
            <w:pPr>
              <w:rPr>
                <w:sz w:val="22"/>
              </w:rPr>
            </w:pPr>
            <w:r w:rsidRPr="00934637">
              <w:rPr>
                <w:sz w:val="22"/>
              </w:rPr>
              <w:t>Reportar el a</w:t>
            </w:r>
            <w:r w:rsidR="00A92DC3" w:rsidRPr="00934637">
              <w:rPr>
                <w:sz w:val="22"/>
              </w:rPr>
              <w:t>vance de indicadores con frecuencia anual</w:t>
            </w:r>
          </w:p>
        </w:tc>
      </w:tr>
    </w:tbl>
    <w:p w:rsidR="00473A10" w:rsidRPr="00642E51" w:rsidRDefault="00473A10" w:rsidP="00852D19"/>
    <w:p w:rsidR="003070AA" w:rsidRPr="00642E51" w:rsidRDefault="00767FE4" w:rsidP="00852D19">
      <w:pPr>
        <w:pStyle w:val="Ttulo3"/>
      </w:pPr>
      <w:bookmarkStart w:id="21" w:name="_Toc500163681"/>
      <w:r>
        <w:lastRenderedPageBreak/>
        <w:t>Consideraciones</w:t>
      </w:r>
      <w:bookmarkEnd w:id="21"/>
    </w:p>
    <w:p w:rsidR="00EC2A27" w:rsidRDefault="007F20E0" w:rsidP="00EC2A27">
      <w:r w:rsidRPr="00166D0E">
        <w:t>El</w:t>
      </w:r>
      <w:r w:rsidR="00EC2A27" w:rsidRPr="00166D0E">
        <w:t xml:space="preserve"> indicador considera únicamente los Fondos de Aportaciones Federales, dado que únicamente se reportan indicadores </w:t>
      </w:r>
      <w:r w:rsidR="00EC2A27">
        <w:t xml:space="preserve">para programas presupuestarios del </w:t>
      </w:r>
      <w:r w:rsidR="006518E2">
        <w:t>R</w:t>
      </w:r>
      <w:r w:rsidR="00EC2A27">
        <w:t xml:space="preserve">amo </w:t>
      </w:r>
      <w:r w:rsidR="006518E2">
        <w:t xml:space="preserve">General </w:t>
      </w:r>
      <w:r w:rsidR="00EC2A27">
        <w:t xml:space="preserve">33, pues los indicadores relacionados con subsidios y convenios son registrados directamente por las Unidades Responsables de los programas presupuestarios a nivel federal. Sin embargo, en caso de incrementarse el número de programas que </w:t>
      </w:r>
      <w:r>
        <w:t>recopilan información de metas y avances de</w:t>
      </w:r>
      <w:r w:rsidR="00EC2A27">
        <w:t xml:space="preserve"> indicadores por medio del </w:t>
      </w:r>
      <w:r w:rsidR="006518E2">
        <w:t>SFU</w:t>
      </w:r>
      <w:r w:rsidR="00EC2A27">
        <w:t xml:space="preserve">, </w:t>
      </w:r>
      <w:r w:rsidR="006518E2">
        <w:t>é</w:t>
      </w:r>
      <w:r w:rsidR="00EC2A27">
        <w:t>sto</w:t>
      </w:r>
      <w:r>
        <w:t>s</w:t>
      </w:r>
      <w:r w:rsidR="00EC2A27">
        <w:t xml:space="preserve"> se </w:t>
      </w:r>
      <w:r w:rsidR="00E92856">
        <w:t>considerarán</w:t>
      </w:r>
      <w:r w:rsidR="00EC2A27">
        <w:t xml:space="preserve"> para el cálculo de la variable</w:t>
      </w:r>
      <w:r>
        <w:t xml:space="preserve"> Indicadores.</w:t>
      </w:r>
    </w:p>
    <w:p w:rsidR="0050623C" w:rsidRPr="00473A10" w:rsidRDefault="0050623C" w:rsidP="00852D19"/>
    <w:p w:rsidR="003070AA" w:rsidRPr="00642E51" w:rsidRDefault="00C703FF" w:rsidP="00852D19">
      <w:pPr>
        <w:pStyle w:val="Ttulo2"/>
      </w:pPr>
      <w:bookmarkStart w:id="22" w:name="_Toc500163682"/>
      <w:r>
        <w:t>Gestión de Programas y Proyectos de Inversión (GPP)</w:t>
      </w:r>
      <w:bookmarkEnd w:id="22"/>
    </w:p>
    <w:p w:rsidR="003070AA" w:rsidRPr="00E345E9" w:rsidRDefault="003070AA" w:rsidP="00852D19">
      <w:pPr>
        <w:pStyle w:val="Ttulo3"/>
      </w:pPr>
      <w:bookmarkStart w:id="23" w:name="_Toc500163683"/>
      <w:r w:rsidRPr="00E345E9">
        <w:t>Definición</w:t>
      </w:r>
      <w:bookmarkEnd w:id="23"/>
    </w:p>
    <w:p w:rsidR="009572EC" w:rsidRDefault="0050623C" w:rsidP="00852D19">
      <w:r>
        <w:t>La variable GPP permite conocer si l</w:t>
      </w:r>
      <w:r w:rsidR="001F3C9F">
        <w:t xml:space="preserve">os Gobiernos Locales </w:t>
      </w:r>
      <w:r>
        <w:t>están dando seguimiento trimestral adecuado a los programas y proyectos de inversión financiados con recursos federales.</w:t>
      </w:r>
      <w:r w:rsidR="00C01F99">
        <w:t xml:space="preserve"> Con la finalidad de comprobar lo anterior, dentro del </w:t>
      </w:r>
      <w:r w:rsidR="00C01F99" w:rsidRPr="00934637">
        <w:t>SFU</w:t>
      </w:r>
      <w:r w:rsidR="00C01F99">
        <w:t xml:space="preserve"> se cuenta con un proceso de validación por medio del cual las entidades federativas, en su carácter de responsables de la información, de acuerdo con lo estipulado por la LFPRH y LCF, revisan la información reportada por los ejecutores de los recursos. </w:t>
      </w:r>
    </w:p>
    <w:p w:rsidR="003070AA" w:rsidRDefault="00C01F99" w:rsidP="0077269E">
      <w:pPr>
        <w:spacing w:after="0"/>
      </w:pPr>
      <w:r>
        <w:t>Para ello, la información debe registrarse</w:t>
      </w:r>
      <w:r w:rsidR="00CE7CF2">
        <w:t xml:space="preserve"> y validarse</w:t>
      </w:r>
      <w:r>
        <w:t xml:space="preserve"> en las fechas estipuladas por los Lineamientos</w:t>
      </w:r>
      <w:r w:rsidR="00AB42C7">
        <w:t xml:space="preserve"> SFU</w:t>
      </w:r>
      <w:r w:rsidR="00361286">
        <w:t>, así como cumplir con criterios de calidad definidos dentro de las propias entidades federativas, quienes, en la mayor parte de los casos son quienes definen los programas o proyectos de inversión a financiar con los recursos federales que les son transferidos</w:t>
      </w:r>
      <w:r w:rsidRPr="00C01F99">
        <w:t>.</w:t>
      </w:r>
      <w:r w:rsidR="00395476">
        <w:t xml:space="preserve"> </w:t>
      </w:r>
      <w:r w:rsidR="00CE7CF2">
        <w:t>L</w:t>
      </w:r>
      <w:r w:rsidR="00395476">
        <w:t xml:space="preserve">a </w:t>
      </w:r>
      <w:r w:rsidR="0095659F">
        <w:t>SHCP</w:t>
      </w:r>
      <w:r w:rsidR="00CE7CF2">
        <w:t xml:space="preserve"> y los Coordinadores de Fondo</w:t>
      </w:r>
      <w:r w:rsidR="00395476">
        <w:t xml:space="preserve"> también realiza</w:t>
      </w:r>
      <w:r w:rsidR="00502A16">
        <w:t>n</w:t>
      </w:r>
      <w:r w:rsidR="00395476">
        <w:t xml:space="preserve"> la revisión correspondiente, en específico para aquellos proyectos que son definidos desde lineamientos, reglas de operación</w:t>
      </w:r>
      <w:r w:rsidR="00CE7CF2">
        <w:t>, convenidos con la APF</w:t>
      </w:r>
      <w:r w:rsidR="00395476">
        <w:t xml:space="preserve"> o </w:t>
      </w:r>
      <w:r w:rsidR="00CE7CF2">
        <w:t xml:space="preserve">en </w:t>
      </w:r>
      <w:r w:rsidR="00395476">
        <w:t>el propio Decreto de Presupuesto de Egresos de la Federación</w:t>
      </w:r>
      <w:r w:rsidR="00206E56">
        <w:rPr>
          <w:rStyle w:val="Refdenotaalpie"/>
        </w:rPr>
        <w:footnoteReference w:id="18"/>
      </w:r>
      <w:r w:rsidR="00395476">
        <w:t>.</w:t>
      </w:r>
    </w:p>
    <w:p w:rsidR="0077269E" w:rsidRPr="00642E51" w:rsidRDefault="0077269E" w:rsidP="0077269E">
      <w:pPr>
        <w:spacing w:after="0"/>
      </w:pPr>
    </w:p>
    <w:p w:rsidR="003070AA" w:rsidRDefault="00316D6A" w:rsidP="0077269E">
      <w:pPr>
        <w:pStyle w:val="Ttulo3"/>
        <w:spacing w:after="0"/>
      </w:pPr>
      <w:bookmarkStart w:id="24" w:name="_Toc500163684"/>
      <w:r>
        <w:lastRenderedPageBreak/>
        <w:t>Método de cálculo</w:t>
      </w:r>
      <w:bookmarkEnd w:id="24"/>
    </w:p>
    <w:p w:rsidR="00934637" w:rsidRPr="00934637" w:rsidRDefault="00934637" w:rsidP="00934637">
      <w:pPr>
        <w:spacing w:after="0"/>
        <w:rPr>
          <w:lang w:eastAsia="zh-TW"/>
        </w:rPr>
      </w:pPr>
      <w:r>
        <w:rPr>
          <w:noProof/>
        </w:rPr>
        <mc:AlternateContent>
          <mc:Choice Requires="wps">
            <w:drawing>
              <wp:anchor distT="0" distB="0" distL="114300" distR="114300" simplePos="0" relativeHeight="251667456" behindDoc="0" locked="0" layoutInCell="1" allowOverlap="1" wp14:anchorId="4DD74D82" wp14:editId="57C54E24">
                <wp:simplePos x="0" y="0"/>
                <wp:positionH relativeFrom="column">
                  <wp:posOffset>-50800</wp:posOffset>
                </wp:positionH>
                <wp:positionV relativeFrom="paragraph">
                  <wp:posOffset>52502</wp:posOffset>
                </wp:positionV>
                <wp:extent cx="5614670" cy="599440"/>
                <wp:effectExtent l="0" t="0" r="24130" b="10160"/>
                <wp:wrapNone/>
                <wp:docPr id="15" name="15 Rectángulo"/>
                <wp:cNvGraphicFramePr/>
                <a:graphic xmlns:a="http://schemas.openxmlformats.org/drawingml/2006/main">
                  <a:graphicData uri="http://schemas.microsoft.com/office/word/2010/wordprocessingShape">
                    <wps:wsp>
                      <wps:cNvSpPr/>
                      <wps:spPr>
                        <a:xfrm>
                          <a:off x="0" y="0"/>
                          <a:ext cx="5614670" cy="599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1953" id="15 Rectángulo" o:spid="_x0000_s1026" style="position:absolute;margin-left:-4pt;margin-top:4.15pt;width:442.1pt;height: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" filled="f" strokecolor="black [3213]"/>
            </w:pict>
          </mc:Fallback>
        </mc:AlternateContent>
      </w:r>
    </w:p>
    <w:p w:rsidR="00316D6A" w:rsidRPr="003246BA" w:rsidRDefault="00316D6A" w:rsidP="00852D19">
      <m:oMathPara>
        <m:oMathParaPr>
          <m:jc m:val="centerGroup"/>
        </m:oMathParaPr>
        <m:oMath>
          <m:r>
            <w:rPr>
              <w:rFonts w:ascii="Cambria Math" w:hAnsi="Cambria Math"/>
            </w:rPr>
            <m:t>GPP</m:t>
          </m:r>
          <m:r>
            <m:rPr>
              <m:sty m:val="p"/>
            </m:rPr>
            <w:rPr>
              <w:rFonts w:ascii="Cambria Math" w:hAnsi="Cambria Math"/>
            </w:rPr>
            <m:t>=</m:t>
          </m:r>
          <m:f>
            <m:fPr>
              <m:ctrlPr>
                <w:rPr>
                  <w:rFonts w:ascii="Cambria Math" w:hAnsi="Cambria Math"/>
                  <w:iCs/>
                </w:rPr>
              </m:ctrlPr>
            </m:fPr>
            <m:num>
              <m:r>
                <w:rPr>
                  <w:rFonts w:ascii="Cambria Math" w:hAnsi="Cambria Math"/>
                </w:rPr>
                <m:t>pnv</m:t>
              </m:r>
            </m:num>
            <m:den>
              <m:r>
                <w:rPr>
                  <w:rFonts w:ascii="Cambria Math" w:hAnsi="Cambria Math"/>
                </w:rPr>
                <m:t>pej</m:t>
              </m:r>
            </m:den>
          </m:f>
        </m:oMath>
      </m:oMathPara>
    </w:p>
    <w:p w:rsidR="00934637" w:rsidRPr="00934637" w:rsidRDefault="00934637" w:rsidP="00852D19">
      <w:pPr>
        <w:rPr>
          <w:b/>
          <w:sz w:val="6"/>
        </w:rPr>
      </w:pPr>
    </w:p>
    <w:p w:rsidR="00316D6A" w:rsidRPr="003246BA" w:rsidRDefault="007D7A02" w:rsidP="0077269E">
      <w:pPr>
        <w:spacing w:line="240" w:lineRule="auto"/>
      </w:pPr>
      <w:r w:rsidRPr="007D7A02">
        <w:rPr>
          <w:b/>
        </w:rPr>
        <w:t>pnv:</w:t>
      </w:r>
      <w:r>
        <w:tab/>
      </w:r>
      <w:r>
        <w:tab/>
      </w:r>
      <w:r w:rsidR="00316D6A" w:rsidRPr="007D7A02">
        <w:t>proyectos en ejecución que no fueron validados en el per</w:t>
      </w:r>
      <w:r w:rsidR="00502A16">
        <w:t>i</w:t>
      </w:r>
      <w:r w:rsidR="00316D6A" w:rsidRPr="007D7A02">
        <w:t>odo</w:t>
      </w:r>
    </w:p>
    <w:p w:rsidR="00316D6A" w:rsidRPr="003246BA" w:rsidRDefault="00316D6A" w:rsidP="0077269E">
      <w:pPr>
        <w:spacing w:after="0" w:line="240" w:lineRule="auto"/>
      </w:pPr>
      <w:r w:rsidRPr="007D7A02">
        <w:rPr>
          <w:b/>
        </w:rPr>
        <w:t>pej</w:t>
      </w:r>
      <w:r w:rsidR="007D7A02" w:rsidRPr="007D7A02">
        <w:rPr>
          <w:b/>
        </w:rPr>
        <w:t>:</w:t>
      </w:r>
      <w:r w:rsidR="007D7A02">
        <w:tab/>
      </w:r>
      <w:r w:rsidR="007D7A02">
        <w:tab/>
      </w:r>
      <w:r w:rsidRPr="007D7A02">
        <w:t>total de proyectos en ejecución en el per</w:t>
      </w:r>
      <w:r w:rsidR="00502A16">
        <w:t>i</w:t>
      </w:r>
      <w:r w:rsidRPr="007D7A02">
        <w:t>odo</w:t>
      </w:r>
    </w:p>
    <w:p w:rsidR="003070AA" w:rsidRDefault="003070AA" w:rsidP="009572EC">
      <w:pPr>
        <w:spacing w:after="0"/>
      </w:pPr>
    </w:p>
    <w:p w:rsidR="009142B0" w:rsidRDefault="009142B0" w:rsidP="0077269E">
      <w:pPr>
        <w:spacing w:after="0"/>
      </w:pPr>
      <w:r w:rsidRPr="00852D19">
        <w:t xml:space="preserve">Como se observa, </w:t>
      </w:r>
      <w:r w:rsidR="00852D19" w:rsidRPr="00852D19">
        <w:t>el cálculo de la variable considera</w:t>
      </w:r>
      <w:r w:rsidR="00E92856">
        <w:t xml:space="preserve"> los</w:t>
      </w:r>
      <w:r w:rsidR="007F20E0">
        <w:t xml:space="preserve"> </w:t>
      </w:r>
      <w:r w:rsidR="00852D19" w:rsidRPr="00852D19">
        <w:t xml:space="preserve">proyectos que concluyeron de forma satisfactoria con </w:t>
      </w:r>
      <w:r w:rsidR="00E92856">
        <w:t>el</w:t>
      </w:r>
      <w:r w:rsidR="00E92856" w:rsidRPr="00852D19">
        <w:t xml:space="preserve"> </w:t>
      </w:r>
      <w:r w:rsidR="00852D19" w:rsidRPr="00852D19">
        <w:t>proceso de validación</w:t>
      </w:r>
      <w:r w:rsidR="00E92856">
        <w:t xml:space="preserve"> y</w:t>
      </w:r>
      <w:r w:rsidR="00CE7CF2">
        <w:t xml:space="preserve"> </w:t>
      </w:r>
      <w:r w:rsidR="00852D19" w:rsidRPr="00852D19">
        <w:t xml:space="preserve">aquellos </w:t>
      </w:r>
      <w:r w:rsidR="00E92856">
        <w:t xml:space="preserve">proyectos en ejecución reportados por los ejecutores en </w:t>
      </w:r>
      <w:r w:rsidR="00852D19" w:rsidRPr="00852D19">
        <w:t xml:space="preserve">el componente de Gestión de Programas y Proyectos de Inversión. </w:t>
      </w:r>
      <w:r w:rsidR="009572EC">
        <w:t>De esta forma, es posible conocer el seguimiento que realizan l</w:t>
      </w:r>
      <w:r w:rsidR="00A2747A">
        <w:t>os Gobiernos Locales</w:t>
      </w:r>
      <w:r w:rsidR="007A3890">
        <w:t xml:space="preserve"> a los proyectos de inversión que tienen registrados, as</w:t>
      </w:r>
      <w:r w:rsidR="00AC5871">
        <w:t>í como su</w:t>
      </w:r>
      <w:r w:rsidR="007A3890">
        <w:t xml:space="preserve"> calidad</w:t>
      </w:r>
      <w:r w:rsidR="00AC5871">
        <w:t>, de acuerdo con los criterios de la propia entidad federativa</w:t>
      </w:r>
      <w:r w:rsidR="00AC69AC">
        <w:t xml:space="preserve"> y, en los casos en que </w:t>
      </w:r>
      <w:r w:rsidR="00E92856">
        <w:t>existe información</w:t>
      </w:r>
      <w:r w:rsidR="00AC69AC">
        <w:t>, de la SHCP</w:t>
      </w:r>
      <w:r w:rsidR="00AC5871">
        <w:t>.</w:t>
      </w:r>
      <w:r w:rsidR="007A3890">
        <w:t xml:space="preserve"> </w:t>
      </w:r>
    </w:p>
    <w:p w:rsidR="0077269E" w:rsidRPr="00852D19" w:rsidRDefault="0077269E" w:rsidP="0077269E">
      <w:pPr>
        <w:spacing w:after="0"/>
      </w:pPr>
    </w:p>
    <w:p w:rsidR="003070AA" w:rsidRPr="00533857" w:rsidRDefault="0050623C" w:rsidP="0077269E">
      <w:pPr>
        <w:pStyle w:val="Ttulo3"/>
        <w:spacing w:after="0"/>
      </w:pPr>
      <w:bookmarkStart w:id="25" w:name="_Toc500163685"/>
      <w:r>
        <w:t>Consideraciones</w:t>
      </w:r>
      <w:bookmarkEnd w:id="25"/>
    </w:p>
    <w:p w:rsidR="00AC69AC" w:rsidRDefault="00AC69AC" w:rsidP="00852D19">
      <w:r>
        <w:t>Algo importante a destacar es que l</w:t>
      </w:r>
      <w:r w:rsidR="001F3C9F">
        <w:t xml:space="preserve">os Gobiernos Locales </w:t>
      </w:r>
      <w:r>
        <w:t xml:space="preserve">cuentan con la posibilidad de realizar cambios de estatus sobre los proyectos o programas de inversión registrados. Así, </w:t>
      </w:r>
      <w:r w:rsidR="00D37A2E">
        <w:t>es posible</w:t>
      </w:r>
      <w:r>
        <w:t xml:space="preserve"> cancelar todos aquellos proye</w:t>
      </w:r>
      <w:r w:rsidR="00006BDF">
        <w:t>ctos que no tendrán continuidad;</w:t>
      </w:r>
      <w:r>
        <w:t xml:space="preserve"> terminar aquellos que hayan llegado al 100% de avances físico y financiero</w:t>
      </w:r>
      <w:r w:rsidR="00006BDF">
        <w:t>,</w:t>
      </w:r>
      <w:r>
        <w:t xml:space="preserve"> o suspender aquellos que tendrán continuidad, pero en el trimestre correspondiente no registraron avance alguno.</w:t>
      </w:r>
      <w:r w:rsidR="003E6FB3">
        <w:t xml:space="preserve"> </w:t>
      </w:r>
      <w:r>
        <w:t>De esta forma, dado que el método de cálculo de la presente variable únicamente considera los proyectos en ejecución, la cancelación, suspensión y terminación</w:t>
      </w:r>
      <w:r w:rsidR="006B7976">
        <w:t xml:space="preserve"> de los proyectos no se incluye dentro de su valoración</w:t>
      </w:r>
      <w:r>
        <w:t>.</w:t>
      </w:r>
    </w:p>
    <w:sectPr w:rsidR="00AC69AC" w:rsidSect="00307A46">
      <w:headerReference w:type="even" r:id="rId9"/>
      <w:headerReference w:type="default" r:id="rId10"/>
      <w:footerReference w:type="even"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58" w:rsidRDefault="000E7B58" w:rsidP="00852D19">
      <w:r>
        <w:separator/>
      </w:r>
    </w:p>
  </w:endnote>
  <w:endnote w:type="continuationSeparator" w:id="0">
    <w:p w:rsidR="000E7B58" w:rsidRDefault="000E7B58" w:rsidP="0085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berana Sans Light">
    <w:panose1 w:val="02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6587"/>
      <w:docPartObj>
        <w:docPartGallery w:val="Page Numbers (Bottom of Page)"/>
        <w:docPartUnique/>
      </w:docPartObj>
    </w:sdtPr>
    <w:sdtEndPr/>
    <w:sdtContent>
      <w:p w:rsidR="00DA26E6" w:rsidRDefault="00DA26E6" w:rsidP="00852D19">
        <w:pPr>
          <w:pStyle w:val="Piedepgina"/>
        </w:pPr>
        <w:r>
          <w:fldChar w:fldCharType="begin"/>
        </w:r>
        <w:r>
          <w:instrText>PAGE   \* MERGEFORMAT</w:instrText>
        </w:r>
        <w:r>
          <w:fldChar w:fldCharType="separate"/>
        </w:r>
        <w:r w:rsidRPr="00E6615B">
          <w:rPr>
            <w:noProof/>
            <w:lang w:val="es-ES"/>
          </w:rPr>
          <w:t>18</w:t>
        </w:r>
        <w:r>
          <w:fldChar w:fldCharType="end"/>
        </w:r>
      </w:p>
    </w:sdtContent>
  </w:sdt>
  <w:p w:rsidR="00DA26E6" w:rsidRPr="00533857" w:rsidRDefault="00DA26E6" w:rsidP="00852D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53983"/>
      <w:docPartObj>
        <w:docPartGallery w:val="Page Numbers (Bottom of Page)"/>
        <w:docPartUnique/>
      </w:docPartObj>
    </w:sdtPr>
    <w:sdtEndPr/>
    <w:sdtContent>
      <w:p w:rsidR="00DA26E6" w:rsidRDefault="00DA26E6" w:rsidP="00852D19">
        <w:pPr>
          <w:pStyle w:val="Piedepgina"/>
        </w:pPr>
        <w:r>
          <w:fldChar w:fldCharType="begin"/>
        </w:r>
        <w:r>
          <w:instrText>PAGE   \* MERGEFORMAT</w:instrText>
        </w:r>
        <w:r>
          <w:fldChar w:fldCharType="separate"/>
        </w:r>
        <w:r w:rsidR="00A15A0C" w:rsidRPr="00A15A0C">
          <w:rPr>
            <w:noProof/>
            <w:lang w:val="es-ES"/>
          </w:rPr>
          <w:t>3</w:t>
        </w:r>
        <w:r>
          <w:fldChar w:fldCharType="end"/>
        </w:r>
      </w:p>
    </w:sdtContent>
  </w:sdt>
  <w:p w:rsidR="00DA26E6" w:rsidRDefault="00DA26E6" w:rsidP="00852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58" w:rsidRDefault="000E7B58" w:rsidP="00852D19">
      <w:r>
        <w:separator/>
      </w:r>
    </w:p>
  </w:footnote>
  <w:footnote w:type="continuationSeparator" w:id="0">
    <w:p w:rsidR="000E7B58" w:rsidRDefault="000E7B58" w:rsidP="00852D19">
      <w:r>
        <w:continuationSeparator/>
      </w:r>
    </w:p>
  </w:footnote>
  <w:footnote w:id="1">
    <w:p w:rsidR="00DA26E6" w:rsidRPr="00166D0E" w:rsidRDefault="00DA26E6">
      <w:pPr>
        <w:pStyle w:val="Textonotapie"/>
        <w:rPr>
          <w:sz w:val="16"/>
        </w:rPr>
      </w:pPr>
      <w:r w:rsidRPr="00166D0E">
        <w:rPr>
          <w:rStyle w:val="Refdenotaalpie"/>
          <w:sz w:val="16"/>
        </w:rPr>
        <w:footnoteRef/>
      </w:r>
      <w:r w:rsidRPr="00166D0E">
        <w:rPr>
          <w:sz w:val="16"/>
        </w:rPr>
        <w:t xml:space="preserve"> Es el instrumento metodológico y el modelo de cultura organizacional cuyo objetivo es que los recursos públicos se asignen prioritariamente a los programas que generan más beneficios a la población y que se corrija el diseño de aquéllos que no están funcionando correctamente. Un presupuesto con enfoque en el logro de resultados consiste en que los órganos públicos establezcan de manera puntual los objetivos que se alcanzarán con los recursos que se asignen a sus respectivos programas y que el grado de consecución de dichos objetivos pueda ser efectivamente confirmado.</w:t>
      </w:r>
    </w:p>
  </w:footnote>
  <w:footnote w:id="2">
    <w:p w:rsidR="00DA26E6" w:rsidRDefault="00DA26E6">
      <w:pPr>
        <w:pStyle w:val="Textonotapie"/>
      </w:pPr>
      <w:r w:rsidRPr="00166D0E">
        <w:rPr>
          <w:rStyle w:val="Refdenotaalpie"/>
          <w:sz w:val="16"/>
        </w:rPr>
        <w:footnoteRef/>
      </w:r>
      <w:r w:rsidRPr="00166D0E">
        <w:rPr>
          <w:sz w:val="16"/>
        </w:rPr>
        <w:t xml:space="preserve"> Recursos públicos federales transferidos a las entidades federativas, los municipios y las demarcaciones territoriales del Distrito Federal, a través de participaciones, Fondos de Aportaciones Federales, subsidios o convenios.</w:t>
      </w:r>
    </w:p>
  </w:footnote>
  <w:footnote w:id="3">
    <w:p w:rsidR="00DA26E6" w:rsidRDefault="00DA26E6">
      <w:pPr>
        <w:pStyle w:val="Textonotapie"/>
      </w:pPr>
      <w:r w:rsidRPr="00166D0E">
        <w:rPr>
          <w:rStyle w:val="Refdenotaalpie"/>
          <w:sz w:val="18"/>
        </w:rPr>
        <w:footnoteRef/>
      </w:r>
      <w:r w:rsidRPr="00166D0E">
        <w:rPr>
          <w:sz w:val="16"/>
        </w:rPr>
        <w:t>Conj</w:t>
      </w:r>
      <w:r w:rsidRPr="00166D0E">
        <w:rPr>
          <w:sz w:val="14"/>
        </w:rPr>
        <w:t xml:space="preserve">unto </w:t>
      </w:r>
      <w:r w:rsidRPr="00166D0E">
        <w:rPr>
          <w:sz w:val="16"/>
        </w:rPr>
        <w:t>de elementos metodológicos que permite la valoración objetiva del desempeño de los programas y las políticas públicas, a través de la verificación del cumplimiento de metas y objetivos, con base en indicadores estratégicos y de gestión, para conocer los resultados del ejercicio de los recursos y el impacto social de los programas. Además, permite identificar la eficacia, eficiencia, economía y calidad del gasto público, mediante una mayor productividad y eficiencia de los procesos gubernamentales.</w:t>
      </w:r>
    </w:p>
  </w:footnote>
  <w:footnote w:id="4">
    <w:p w:rsidR="00DA26E6" w:rsidRPr="00166D0E" w:rsidRDefault="00DA26E6">
      <w:pPr>
        <w:pStyle w:val="Textonotapie"/>
        <w:rPr>
          <w:sz w:val="18"/>
        </w:rPr>
      </w:pPr>
      <w:r w:rsidRPr="00166D0E">
        <w:rPr>
          <w:rStyle w:val="Refdenotaalpie"/>
          <w:sz w:val="16"/>
        </w:rPr>
        <w:footnoteRef/>
      </w:r>
      <w:r w:rsidRPr="00166D0E">
        <w:rPr>
          <w:sz w:val="16"/>
        </w:rPr>
        <w:t xml:space="preserve"> Recursos que se entregan a las entidades federativas, municipios y demarcaciones territoriales del Distrito Federal para cumplir determinados objetivos en materia de educación, salud, infraestructura educativa y social, seguridad pública, entre otros, establecidos en el capítulo V de la Ley de Coordinación Fiscal.</w:t>
      </w:r>
    </w:p>
  </w:footnote>
  <w:footnote w:id="5">
    <w:p w:rsidR="00DA26E6" w:rsidRDefault="00DA26E6">
      <w:pPr>
        <w:pStyle w:val="Textonotapie"/>
      </w:pPr>
      <w:r>
        <w:rPr>
          <w:rStyle w:val="Refdenotaalpie"/>
        </w:rPr>
        <w:footnoteRef/>
      </w:r>
      <w:r>
        <w:t xml:space="preserve"> </w:t>
      </w:r>
      <w:r w:rsidRPr="00166D0E">
        <w:rPr>
          <w:sz w:val="16"/>
        </w:rPr>
        <w:t>Aplicación informática a la que hace referencia el artículo 85 de la Ley Federal de Presupuesto y Responsabilidad Hacendaria mediante la cual las entidades federativas, municipios y demarcaciones territoriales del Distrito Federal reportan sobre el ejercicio, destino y resultados obtenidos con los recursos federales transferidos mediante aportaciones, convenios y subsidios.</w:t>
      </w:r>
    </w:p>
  </w:footnote>
  <w:footnote w:id="6">
    <w:p w:rsidR="00DA26E6" w:rsidRDefault="00DA26E6">
      <w:pPr>
        <w:pStyle w:val="Textonotapie"/>
      </w:pPr>
      <w:r>
        <w:rPr>
          <w:rStyle w:val="Refdenotaalpie"/>
        </w:rPr>
        <w:footnoteRef/>
      </w:r>
      <w:r>
        <w:t xml:space="preserve"> </w:t>
      </w:r>
      <w:r w:rsidRPr="00166D0E">
        <w:rPr>
          <w:sz w:val="16"/>
        </w:rPr>
        <w:t>Conjunto de recursos destinados a cumplir propósitos específicos, cuya previsión y asignación se encuentra en el Presupuesto de Egresos de la Federación, aunque no corresponda al gasto directo de las dependencias. El ejercicio de estos recursos en algunos casos está a cargo de ellas y en otros a los gobiernos de las entidades federativas, municipios y demarcaciones territoriales del Distrito Federal.</w:t>
      </w:r>
    </w:p>
  </w:footnote>
  <w:footnote w:id="7">
    <w:p w:rsidR="00DA26E6" w:rsidRDefault="00DA26E6">
      <w:pPr>
        <w:pStyle w:val="Textonotapie"/>
      </w:pPr>
      <w:r w:rsidRPr="00846206">
        <w:rPr>
          <w:rStyle w:val="Refdenotaalpie"/>
          <w:sz w:val="16"/>
        </w:rPr>
        <w:footnoteRef/>
      </w:r>
      <w:r>
        <w:t xml:space="preserve"> </w:t>
      </w:r>
      <w:r w:rsidRPr="00166D0E">
        <w:rPr>
          <w:sz w:val="16"/>
        </w:rPr>
        <w:t>Explicación que determina la forma en que se relacionan las variables establecidas para un indicador.</w:t>
      </w:r>
    </w:p>
  </w:footnote>
  <w:footnote w:id="8">
    <w:p w:rsidR="00DA26E6" w:rsidRDefault="00DA26E6">
      <w:pPr>
        <w:pStyle w:val="Textonotapie"/>
      </w:pPr>
      <w:r w:rsidRPr="00166D0E">
        <w:rPr>
          <w:rStyle w:val="Refdenotaalpie"/>
          <w:sz w:val="16"/>
        </w:rPr>
        <w:footnoteRef/>
      </w:r>
      <w:r w:rsidRPr="00166D0E">
        <w:rPr>
          <w:sz w:val="16"/>
        </w:rPr>
        <w:t xml:space="preserve"> Se refiere a la dirección en que debe moverse el indicador para que su medición signifique avance o mejora en lo que mide. Es decir, permite conocer cuando un resultado representa un desempeño positivo o negativo. Puede ser descendente (la meta siempre será menor que la línea base y si disminuye el valor del indicador, significa que hay un buen desempeño) o ascendente (la meta siempre será mayor que la línea base y si crece el valor del indicador, es representativo de un buen desempeño).</w:t>
      </w:r>
    </w:p>
  </w:footnote>
  <w:footnote w:id="9">
    <w:p w:rsidR="00DA26E6" w:rsidRPr="00166D0E" w:rsidRDefault="00DA26E6">
      <w:pPr>
        <w:pStyle w:val="Textonotapie"/>
        <w:rPr>
          <w:sz w:val="16"/>
          <w:szCs w:val="16"/>
        </w:rPr>
      </w:pPr>
      <w:r>
        <w:rPr>
          <w:rStyle w:val="Refdenotaalpie"/>
        </w:rPr>
        <w:footnoteRef/>
      </w:r>
      <w:r>
        <w:t xml:space="preserve"> </w:t>
      </w:r>
      <w:r w:rsidRPr="00166D0E">
        <w:rPr>
          <w:sz w:val="16"/>
          <w:szCs w:val="16"/>
        </w:rPr>
        <w:t>Acciones que implican erogaciones de gasto de capital destinadas a obra pública en infraestructura, así como la construcción, adquisición y modificación de inmuebles, las adquisiciones de bienes muebles asociadas a estos proyectos, y las rehabilitaciones que impliquen un aumento en la capacidad o vida útil de los activos de infraestructura e inmuebles.</w:t>
      </w:r>
    </w:p>
  </w:footnote>
  <w:footnote w:id="10">
    <w:p w:rsidR="00DA26E6" w:rsidRDefault="00DA26E6">
      <w:pPr>
        <w:pStyle w:val="Textonotapie"/>
      </w:pPr>
      <w:r>
        <w:rPr>
          <w:rStyle w:val="Refdenotaalpie"/>
        </w:rPr>
        <w:footnoteRef/>
      </w:r>
      <w:r>
        <w:t xml:space="preserve"> </w:t>
      </w:r>
      <w:r w:rsidRPr="00166D0E">
        <w:rPr>
          <w:sz w:val="16"/>
          <w:szCs w:val="16"/>
        </w:rPr>
        <w:t>Análisis sistemático y objetivo de intervenciones, principalmente de programas gubernamentales en los ámbitos federal, estatal y municipal, así como de conjuntos de programas o de políticas públicas. El propósito de las evaluaciones a los programas es determinar su pertinencia y el logro de sus objetivos, así como la eficiencia, efectividad, impacto y sostenibilidad de éstos, aportando información confiable y útil sobre los resultados obtenidos, que permita mejorar el proceso de toma de</w:t>
      </w:r>
      <w:r w:rsidRPr="00166D0E">
        <w:rPr>
          <w:sz w:val="18"/>
          <w:szCs w:val="15"/>
        </w:rPr>
        <w:t xml:space="preserve"> </w:t>
      </w:r>
      <w:r w:rsidRPr="00166D0E">
        <w:rPr>
          <w:sz w:val="16"/>
          <w:szCs w:val="16"/>
        </w:rPr>
        <w:t>decisiones. Asimismo, las evaluaciones constituyen un elemento del Ciclo Presupuestario, desde el enfoque del Presupuesto basado en Resultados (PbR). Las evaluaciones a programas gubernamentales se rigen por los Lineamientos Generales para la Evaluación de los Programas Federales de la Administración Pública Federal.</w:t>
      </w:r>
    </w:p>
  </w:footnote>
  <w:footnote w:id="11">
    <w:p w:rsidR="00DA26E6" w:rsidRDefault="00DA26E6">
      <w:pPr>
        <w:pStyle w:val="Textonotapie"/>
      </w:pPr>
      <w:r>
        <w:rPr>
          <w:rStyle w:val="Refdenotaalpie"/>
        </w:rPr>
        <w:footnoteRef/>
      </w:r>
      <w:r>
        <w:t xml:space="preserve"> </w:t>
      </w:r>
      <w:r w:rsidRPr="00166D0E">
        <w:rPr>
          <w:sz w:val="16"/>
          <w:szCs w:val="16"/>
        </w:rPr>
        <w:t>Expresión cuantitativa construida a partir de variables cuantitativas o cualitativas, que proporciona un medio sencillo y fiable para medir logros, reflejar los cambios vinculados con las acciones del programa, monitorear y evaluar sus resultados. Los indicadores de desempeño pueden ser estratégicos o de gestión</w:t>
      </w:r>
      <w:r w:rsidRPr="00CF1D6E">
        <w:t>.</w:t>
      </w:r>
    </w:p>
  </w:footnote>
  <w:footnote w:id="12">
    <w:p w:rsidR="00DA26E6" w:rsidRPr="00166D0E" w:rsidRDefault="00DA26E6">
      <w:pPr>
        <w:pStyle w:val="Textonotapie"/>
        <w:rPr>
          <w:sz w:val="16"/>
          <w:szCs w:val="16"/>
        </w:rPr>
      </w:pPr>
      <w:r w:rsidRPr="00166D0E">
        <w:rPr>
          <w:rStyle w:val="Refdenotaalpie"/>
          <w:sz w:val="16"/>
          <w:szCs w:val="16"/>
        </w:rPr>
        <w:footnoteRef/>
      </w:r>
      <w:r w:rsidRPr="00166D0E">
        <w:rPr>
          <w:sz w:val="16"/>
          <w:szCs w:val="16"/>
        </w:rPr>
        <w:t xml:space="preserve"> Recursos que se entregan a las entidades federativas, municipios y demarcaciones territoriales del Distrito Federal para cumplir determinados objetivos en materia de educación, salud, infraestructura educativa y social, seguridad pública, entre otros, establecidos en el capítulo V de la Ley de Coordinación Fiscal.</w:t>
      </w:r>
    </w:p>
  </w:footnote>
  <w:footnote w:id="13">
    <w:p w:rsidR="00DA26E6" w:rsidRPr="00166D0E" w:rsidRDefault="00DA26E6">
      <w:pPr>
        <w:pStyle w:val="Textonotapie"/>
        <w:rPr>
          <w:sz w:val="16"/>
          <w:szCs w:val="16"/>
        </w:rPr>
      </w:pPr>
      <w:r w:rsidRPr="00166D0E">
        <w:rPr>
          <w:rStyle w:val="Refdenotaalpie"/>
          <w:sz w:val="16"/>
          <w:szCs w:val="16"/>
        </w:rPr>
        <w:footnoteRef/>
      </w:r>
      <w:r>
        <w:rPr>
          <w:sz w:val="16"/>
          <w:szCs w:val="16"/>
        </w:rPr>
        <w:t xml:space="preserve"> </w:t>
      </w:r>
      <w:r w:rsidRPr="00166D0E">
        <w:rPr>
          <w:sz w:val="16"/>
          <w:szCs w:val="16"/>
        </w:rPr>
        <w:t>En términos del Clasificador por Objeto del Gasto, se refiere al tercer dígito de clasificación de los bienes y servicios adquiridos, el cual logrará la armonización a todos los niveles de gobierno.</w:t>
      </w:r>
    </w:p>
  </w:footnote>
  <w:footnote w:id="14">
    <w:p w:rsidR="00DA26E6" w:rsidRPr="00166D0E" w:rsidRDefault="00DA26E6">
      <w:pPr>
        <w:pStyle w:val="Textonotapie"/>
        <w:rPr>
          <w:rStyle w:val="Refdenotaalpie"/>
        </w:rPr>
      </w:pPr>
      <w:r w:rsidRPr="0017648F">
        <w:rPr>
          <w:rStyle w:val="Refdenotaalpie"/>
          <w:szCs w:val="16"/>
        </w:rPr>
        <w:footnoteRef/>
      </w:r>
      <w:r>
        <w:rPr>
          <w:sz w:val="16"/>
        </w:rPr>
        <w:t xml:space="preserve"> </w:t>
      </w:r>
      <w:r w:rsidRPr="00166D0E">
        <w:rPr>
          <w:sz w:val="16"/>
        </w:rPr>
        <w:t>Es el momento contable que refleja el cobro en efectivo o cualquier otro medio de pago de participaciones, aportaciones, recursos convenidos, y otros ingresos por parte de los entes públicos.</w:t>
      </w:r>
    </w:p>
  </w:footnote>
  <w:footnote w:id="15">
    <w:p w:rsidR="00DA26E6" w:rsidRDefault="00DA26E6">
      <w:pPr>
        <w:pStyle w:val="Textonotapie"/>
      </w:pPr>
      <w:r w:rsidRPr="00166D0E">
        <w:rPr>
          <w:rStyle w:val="Refdenotaalpie"/>
          <w:sz w:val="16"/>
        </w:rPr>
        <w:footnoteRef/>
      </w:r>
      <w:r w:rsidRPr="00166D0E">
        <w:rPr>
          <w:sz w:val="16"/>
        </w:rPr>
        <w:t xml:space="preserve"> Categoría que permite organizar, en forma representativa y homogénea, las asignaciones de recursos de los programas federales y del gasto federalizado a cargo de los ejecutores del mismo, para el cumplimiento de sus objetivos y metas.</w:t>
      </w:r>
    </w:p>
  </w:footnote>
  <w:footnote w:id="16">
    <w:p w:rsidR="00DA26E6" w:rsidRPr="00166D0E" w:rsidRDefault="00DA26E6">
      <w:pPr>
        <w:pStyle w:val="Textonotapie"/>
        <w:rPr>
          <w:sz w:val="16"/>
          <w:szCs w:val="16"/>
        </w:rPr>
      </w:pPr>
      <w:r w:rsidRPr="00166D0E">
        <w:rPr>
          <w:rStyle w:val="Refdenotaalpie"/>
          <w:sz w:val="16"/>
          <w:szCs w:val="16"/>
        </w:rPr>
        <w:footnoteRef/>
      </w:r>
      <w:r w:rsidRPr="00166D0E">
        <w:rPr>
          <w:sz w:val="16"/>
          <w:szCs w:val="16"/>
        </w:rPr>
        <w:t xml:space="preserve"> Las dependencias de la Administración Pública Federal responsables de establecer la distribución entre las entidades federativas de los recursos correspondientes a los Fondos de Aportaciones Federales, en los términos de la Ley de Coordinación Fiscal y demás disposiciones aplicables.</w:t>
      </w:r>
    </w:p>
  </w:footnote>
  <w:footnote w:id="17">
    <w:p w:rsidR="00DA26E6" w:rsidRPr="009A6E3E" w:rsidRDefault="00DA26E6" w:rsidP="006518E2">
      <w:pPr>
        <w:pStyle w:val="Textonotapie"/>
        <w:rPr>
          <w:sz w:val="16"/>
          <w:szCs w:val="16"/>
        </w:rPr>
      </w:pPr>
      <w:r w:rsidRPr="009A6E3E">
        <w:rPr>
          <w:rStyle w:val="Refdenotaalpie"/>
          <w:sz w:val="16"/>
          <w:szCs w:val="16"/>
        </w:rPr>
        <w:footnoteRef/>
      </w:r>
      <w:r w:rsidRPr="009A6E3E">
        <w:rPr>
          <w:sz w:val="16"/>
          <w:szCs w:val="16"/>
        </w:rPr>
        <w:t xml:space="preserve"> Fracción administrativa de la estructura básica de una dependencia facultada para ejercer gasto que lleva a cabo actividades que conduzcan al cumplimiento de objetivos y metas y que puede ser también beneficiaria de recursos otorgados por el Gobierno de la República a través de subsidios y/o transferencias. Es el área responsable de la administración y ejecución de los programas, subprogramas y proyectos de las dependencias y entidades.</w:t>
      </w:r>
    </w:p>
  </w:footnote>
  <w:footnote w:id="18">
    <w:p w:rsidR="00DA26E6" w:rsidRDefault="00DA26E6">
      <w:pPr>
        <w:pStyle w:val="Textonotapie"/>
      </w:pPr>
      <w:r>
        <w:rPr>
          <w:rStyle w:val="Refdenotaalpie"/>
        </w:rPr>
        <w:footnoteRef/>
      </w:r>
      <w:r>
        <w:t xml:space="preserve"> </w:t>
      </w:r>
      <w:r w:rsidRPr="00166D0E">
        <w:rPr>
          <w:sz w:val="16"/>
        </w:rPr>
        <w:t>Documento jurídico, contable y de política económica, aprobado por la Cámara de Diputados del H. Congreso de la Unión a iniciativa del Presidente de la República, en el cual se consigna el gasto público, de acuerdo con su naturaleza y cuantía, que deben realizar el sector central y el sector paraestatal de control directo, en el desempeño de sus funciones en un ejercicio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E6" w:rsidRDefault="00DA26E6" w:rsidP="00852D19">
    <w:pPr>
      <w:pStyle w:val="Encabezado"/>
    </w:pPr>
    <w:r>
      <w:rPr>
        <w:noProof/>
      </w:rPr>
      <mc:AlternateContent>
        <mc:Choice Requires="wps">
          <w:drawing>
            <wp:anchor distT="0" distB="0" distL="114300" distR="114300" simplePos="0" relativeHeight="251662336" behindDoc="0" locked="0" layoutInCell="1" allowOverlap="1" wp14:anchorId="228FD327" wp14:editId="02A43CFD">
              <wp:simplePos x="0" y="0"/>
              <wp:positionH relativeFrom="column">
                <wp:posOffset>3502660</wp:posOffset>
              </wp:positionH>
              <wp:positionV relativeFrom="paragraph">
                <wp:posOffset>-3175</wp:posOffset>
              </wp:positionV>
              <wp:extent cx="2163445" cy="364490"/>
              <wp:effectExtent l="0" t="0" r="0" b="0"/>
              <wp:wrapNone/>
              <wp:docPr id="8" name="8 Rectángulo"/>
              <wp:cNvGraphicFramePr/>
              <a:graphic xmlns:a="http://schemas.openxmlformats.org/drawingml/2006/main">
                <a:graphicData uri="http://schemas.microsoft.com/office/word/2010/wordprocessingShape">
                  <wps:wsp>
                    <wps:cNvSpPr/>
                    <wps:spPr>
                      <a:xfrm>
                        <a:off x="0" y="0"/>
                        <a:ext cx="2163445" cy="364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6E6" w:rsidRPr="00533857" w:rsidRDefault="00DA26E6" w:rsidP="00852D19">
                          <w:pPr>
                            <w:rPr>
                              <w:sz w:val="8"/>
                            </w:rPr>
                          </w:pPr>
                          <w:r>
                            <w:t>Unidad de Evaluación del Desempeño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D327" id="8 Rectángulo" o:spid="_x0000_s1026" style="position:absolute;left:0;text-align:left;margin-left:275.8pt;margin-top:-.25pt;width:170.3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" filled="f" stroked="f" strokeweight="2pt">
              <v:textbox>
                <w:txbxContent>
                  <w:p w:rsidR="00DA26E6" w:rsidRPr="00533857" w:rsidRDefault="00DA26E6" w:rsidP="00852D19">
                    <w:pPr>
                      <w:rPr>
                        <w:sz w:val="8"/>
                      </w:rPr>
                    </w:pPr>
                    <w:r>
                      <w:t>Unidad de Evaluación del Desempeño</w:t>
                    </w:r>
                  </w:p>
                </w:txbxContent>
              </v:textbox>
            </v:rect>
          </w:pict>
        </mc:Fallback>
      </mc:AlternateContent>
    </w:r>
    <w:r>
      <w:rPr>
        <w:noProof/>
      </w:rPr>
      <w:drawing>
        <wp:inline distT="0" distB="0" distL="0" distR="0" wp14:anchorId="71C463C3" wp14:editId="16343657">
          <wp:extent cx="1109272" cy="366061"/>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1118169" cy="368997"/>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6C1573CE" wp14:editId="0E089BA0">
              <wp:simplePos x="0" y="0"/>
              <wp:positionH relativeFrom="column">
                <wp:posOffset>-27305</wp:posOffset>
              </wp:positionH>
              <wp:positionV relativeFrom="paragraph">
                <wp:posOffset>367665</wp:posOffset>
              </wp:positionV>
              <wp:extent cx="5666105" cy="0"/>
              <wp:effectExtent l="0" t="0" r="10795" b="19050"/>
              <wp:wrapNone/>
              <wp:docPr id="7" name="7 Conector recto"/>
              <wp:cNvGraphicFramePr/>
              <a:graphic xmlns:a="http://schemas.openxmlformats.org/drawingml/2006/main">
                <a:graphicData uri="http://schemas.microsoft.com/office/word/2010/wordprocessingShape">
                  <wps:wsp>
                    <wps:cNvCnPr/>
                    <wps:spPr>
                      <a:xfrm>
                        <a:off x="0" y="0"/>
                        <a:ext cx="5666105" cy="0"/>
                      </a:xfrm>
                      <a:prstGeom prst="line">
                        <a:avLst/>
                      </a:prstGeom>
                      <a:ln w="12700"/>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E1BCED7"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pt,28.95pt" to="44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" strokecolor="#c0504d [320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E6" w:rsidRDefault="00DA26E6" w:rsidP="00852D19">
    <w:pPr>
      <w:pStyle w:val="Encabezado"/>
    </w:pPr>
    <w:r>
      <w:rPr>
        <w:noProof/>
      </w:rPr>
      <mc:AlternateContent>
        <mc:Choice Requires="wps">
          <w:drawing>
            <wp:anchor distT="0" distB="0" distL="114300" distR="114300" simplePos="0" relativeHeight="251661312" behindDoc="0" locked="0" layoutInCell="1" allowOverlap="1" wp14:anchorId="7B471147" wp14:editId="706ECDEC">
              <wp:simplePos x="0" y="0"/>
              <wp:positionH relativeFrom="margin">
                <wp:posOffset>388620</wp:posOffset>
              </wp:positionH>
              <wp:positionV relativeFrom="margin">
                <wp:posOffset>-488950</wp:posOffset>
              </wp:positionV>
              <wp:extent cx="4834255" cy="402590"/>
              <wp:effectExtent l="0" t="0" r="0" b="0"/>
              <wp:wrapSquare wrapText="bothSides"/>
              <wp:docPr id="5" name="5 Rectángulo"/>
              <wp:cNvGraphicFramePr/>
              <a:graphic xmlns:a="http://schemas.openxmlformats.org/drawingml/2006/main">
                <a:graphicData uri="http://schemas.microsoft.com/office/word/2010/wordprocessingShape">
                  <wps:wsp>
                    <wps:cNvSpPr/>
                    <wps:spPr>
                      <a:xfrm>
                        <a:off x="0" y="0"/>
                        <a:ext cx="4834255"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6E6" w:rsidRDefault="00DA26E6" w:rsidP="00852D19">
                          <w:r w:rsidRPr="00AC5953">
                            <w:t>Índice de calidad en la información reportada sobre recursos federales transferidos</w:t>
                          </w:r>
                        </w:p>
                        <w:p w:rsidR="00DA26E6" w:rsidRPr="00533857" w:rsidRDefault="00DA26E6" w:rsidP="00852D19">
                          <w:pPr>
                            <w:rPr>
                              <w:sz w:val="8"/>
                            </w:rPr>
                          </w:pPr>
                          <w:r w:rsidRPr="00533857">
                            <w:t>NOTA METODOLÓGICA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71147" id="5 Rectángulo" o:spid="_x0000_s1027" style="position:absolute;left:0;text-align:left;margin-left:30.6pt;margin-top:-38.5pt;width:380.65pt;height:3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" filled="f" stroked="f" strokeweight="2pt">
              <v:textbox>
                <w:txbxContent>
                  <w:p w:rsidR="00DA26E6" w:rsidRDefault="00DA26E6" w:rsidP="00852D19">
                    <w:r w:rsidRPr="00AC5953">
                      <w:t>Índice de calidad en la información reportada sobre recursos federales transferidos</w:t>
                    </w:r>
                  </w:p>
                  <w:p w:rsidR="00DA26E6" w:rsidRPr="00533857" w:rsidRDefault="00DA26E6" w:rsidP="00852D19">
                    <w:pPr>
                      <w:rPr>
                        <w:sz w:val="8"/>
                      </w:rPr>
                    </w:pPr>
                    <w:r w:rsidRPr="00533857">
                      <w:t>NOTA METODOLÓGICA</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5DEBD9C" wp14:editId="2D1CF2A6">
              <wp:simplePos x="0" y="0"/>
              <wp:positionH relativeFrom="column">
                <wp:posOffset>-635</wp:posOffset>
              </wp:positionH>
              <wp:positionV relativeFrom="paragraph">
                <wp:posOffset>363220</wp:posOffset>
              </wp:positionV>
              <wp:extent cx="5666105"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5666105" cy="0"/>
                      </a:xfrm>
                      <a:prstGeom prst="line">
                        <a:avLst/>
                      </a:prstGeom>
                      <a:ln w="12700"/>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6003EC4"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8.6pt" to="446.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" strokecolor="#c0504d [3205]" strokeweight="1pt"/>
          </w:pict>
        </mc:Fallback>
      </mc:AlternateContent>
    </w:r>
    <w:r>
      <w:rPr>
        <w:rFonts w:ascii="Trajan Pro" w:hAnsi="Trajan Pro"/>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255"/>
    <w:multiLevelType w:val="multilevel"/>
    <w:tmpl w:val="1D9C408A"/>
    <w:lvl w:ilvl="0">
      <w:start w:val="1"/>
      <w:numFmt w:val="upperRoman"/>
      <w:lvlText w:val="%1."/>
      <w:lvlJc w:val="left"/>
      <w:pPr>
        <w:ind w:left="360" w:hanging="360"/>
      </w:pPr>
      <w:rPr>
        <w:rFonts w:hint="default"/>
      </w:rPr>
    </w:lvl>
    <w:lvl w:ilvl="1">
      <w:start w:val="1"/>
      <w:numFmt w:val="decimal"/>
      <w:pStyle w:val="Ttulo2"/>
      <w:lvlText w:val="%1.%2"/>
      <w:lvlJc w:val="left"/>
      <w:pPr>
        <w:ind w:left="720" w:hanging="360"/>
      </w:pPr>
      <w:rPr>
        <w:rFonts w:hint="default"/>
      </w:rPr>
    </w:lvl>
    <w:lvl w:ilvl="2">
      <w:start w:val="1"/>
      <w:numFmt w:val="upperLetter"/>
      <w:pStyle w:val="Ttulo3"/>
      <w:lvlText w:val="%1.%2.%3"/>
      <w:lvlJc w:val="left"/>
      <w:pPr>
        <w:ind w:left="1070" w:hanging="360"/>
      </w:pPr>
      <w:rPr>
        <w:rFonts w:hint="default"/>
      </w:rPr>
    </w:lvl>
    <w:lvl w:ilvl="3">
      <w:start w:val="1"/>
      <w:numFmt w:val="lowerLetter"/>
      <w:pStyle w:val="Ttulo4"/>
      <w:lvlText w:val="%1.%2.%3.%4"/>
      <w:lvlJc w:val="left"/>
      <w:pPr>
        <w:ind w:left="1440" w:hanging="360"/>
      </w:pPr>
      <w:rPr>
        <w:rFonts w:hint="default"/>
      </w:rPr>
    </w:lvl>
    <w:lvl w:ilvl="4">
      <w:start w:val="1"/>
      <w:numFmt w:val="lowerRoman"/>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703AB7"/>
    <w:multiLevelType w:val="hybridMultilevel"/>
    <w:tmpl w:val="713462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C26387"/>
    <w:multiLevelType w:val="hybridMultilevel"/>
    <w:tmpl w:val="FDB48028"/>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EB047C"/>
    <w:multiLevelType w:val="hybridMultilevel"/>
    <w:tmpl w:val="5456B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EC636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864B70"/>
    <w:multiLevelType w:val="multilevel"/>
    <w:tmpl w:val="1D9C408A"/>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637" w:hanging="360"/>
      </w:pPr>
      <w:rPr>
        <w:rFonts w:hint="default"/>
      </w:rPr>
    </w:lvl>
    <w:lvl w:ilvl="3">
      <w:start w:val="1"/>
      <w:numFmt w:val="lowerLetter"/>
      <w:lvlText w:val="%1.%2.%3.%4"/>
      <w:lvlJc w:val="left"/>
      <w:pPr>
        <w:ind w:left="1440" w:hanging="360"/>
      </w:pPr>
      <w:rPr>
        <w:rFonts w:hint="default"/>
      </w:rPr>
    </w:lvl>
    <w:lvl w:ilvl="4">
      <w:start w:val="1"/>
      <w:numFmt w:val="lowerRoman"/>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0"/>
  </w:num>
  <w:num w:numId="8">
    <w:abstractNumId w:val="3"/>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A"/>
    <w:rsid w:val="000030B4"/>
    <w:rsid w:val="00003A0E"/>
    <w:rsid w:val="00006BDF"/>
    <w:rsid w:val="00011102"/>
    <w:rsid w:val="000306AF"/>
    <w:rsid w:val="00043DFE"/>
    <w:rsid w:val="00060171"/>
    <w:rsid w:val="000631AC"/>
    <w:rsid w:val="00063E75"/>
    <w:rsid w:val="000723AD"/>
    <w:rsid w:val="000857E7"/>
    <w:rsid w:val="000A5185"/>
    <w:rsid w:val="000A6825"/>
    <w:rsid w:val="000C7BCE"/>
    <w:rsid w:val="000E60AC"/>
    <w:rsid w:val="000E7B58"/>
    <w:rsid w:val="000F28C0"/>
    <w:rsid w:val="001479D3"/>
    <w:rsid w:val="00155CEE"/>
    <w:rsid w:val="00166D0E"/>
    <w:rsid w:val="0017648F"/>
    <w:rsid w:val="001952EC"/>
    <w:rsid w:val="001B05D8"/>
    <w:rsid w:val="001D04F9"/>
    <w:rsid w:val="001D24E2"/>
    <w:rsid w:val="001E0D97"/>
    <w:rsid w:val="001E18DD"/>
    <w:rsid w:val="001F0F54"/>
    <w:rsid w:val="001F3C9F"/>
    <w:rsid w:val="00206E56"/>
    <w:rsid w:val="00223EA3"/>
    <w:rsid w:val="00227995"/>
    <w:rsid w:val="002529D4"/>
    <w:rsid w:val="002769B9"/>
    <w:rsid w:val="0028642E"/>
    <w:rsid w:val="002A4583"/>
    <w:rsid w:val="002B36F2"/>
    <w:rsid w:val="002D260C"/>
    <w:rsid w:val="002E2FA0"/>
    <w:rsid w:val="002F41EB"/>
    <w:rsid w:val="003070AA"/>
    <w:rsid w:val="00307A46"/>
    <w:rsid w:val="00311113"/>
    <w:rsid w:val="00316D6A"/>
    <w:rsid w:val="003246BA"/>
    <w:rsid w:val="003269A9"/>
    <w:rsid w:val="00361286"/>
    <w:rsid w:val="00361E88"/>
    <w:rsid w:val="0036306E"/>
    <w:rsid w:val="0037669E"/>
    <w:rsid w:val="00392CBE"/>
    <w:rsid w:val="00395476"/>
    <w:rsid w:val="0039738E"/>
    <w:rsid w:val="003A7F41"/>
    <w:rsid w:val="003B50B7"/>
    <w:rsid w:val="003E6FB3"/>
    <w:rsid w:val="0040457B"/>
    <w:rsid w:val="004239A0"/>
    <w:rsid w:val="00437F45"/>
    <w:rsid w:val="0045457C"/>
    <w:rsid w:val="00464163"/>
    <w:rsid w:val="00473A10"/>
    <w:rsid w:val="004978D6"/>
    <w:rsid w:val="004D24F9"/>
    <w:rsid w:val="004E7907"/>
    <w:rsid w:val="00502A16"/>
    <w:rsid w:val="0050623C"/>
    <w:rsid w:val="00510893"/>
    <w:rsid w:val="005307D9"/>
    <w:rsid w:val="00537A7A"/>
    <w:rsid w:val="00540A58"/>
    <w:rsid w:val="00577386"/>
    <w:rsid w:val="005B5765"/>
    <w:rsid w:val="005D5926"/>
    <w:rsid w:val="005F0866"/>
    <w:rsid w:val="0061552A"/>
    <w:rsid w:val="00617BD1"/>
    <w:rsid w:val="006266FD"/>
    <w:rsid w:val="006313BC"/>
    <w:rsid w:val="00635EB2"/>
    <w:rsid w:val="00644E14"/>
    <w:rsid w:val="006518E2"/>
    <w:rsid w:val="00657AD5"/>
    <w:rsid w:val="006749C6"/>
    <w:rsid w:val="0068160F"/>
    <w:rsid w:val="00682369"/>
    <w:rsid w:val="006B2921"/>
    <w:rsid w:val="006B7976"/>
    <w:rsid w:val="006C30AD"/>
    <w:rsid w:val="006C38BD"/>
    <w:rsid w:val="006C4DDF"/>
    <w:rsid w:val="006C72CA"/>
    <w:rsid w:val="006D3AE1"/>
    <w:rsid w:val="006E321A"/>
    <w:rsid w:val="006E5F26"/>
    <w:rsid w:val="007014DC"/>
    <w:rsid w:val="00704FC8"/>
    <w:rsid w:val="007148CA"/>
    <w:rsid w:val="007355A1"/>
    <w:rsid w:val="00735E37"/>
    <w:rsid w:val="0074627F"/>
    <w:rsid w:val="00767FE4"/>
    <w:rsid w:val="00770437"/>
    <w:rsid w:val="0077269E"/>
    <w:rsid w:val="00787EF4"/>
    <w:rsid w:val="007A0D21"/>
    <w:rsid w:val="007A3890"/>
    <w:rsid w:val="007B27C1"/>
    <w:rsid w:val="007D6B77"/>
    <w:rsid w:val="007D7A02"/>
    <w:rsid w:val="007F20E0"/>
    <w:rsid w:val="00801361"/>
    <w:rsid w:val="00805F5B"/>
    <w:rsid w:val="008229F3"/>
    <w:rsid w:val="00822A59"/>
    <w:rsid w:val="0083538A"/>
    <w:rsid w:val="00843A1A"/>
    <w:rsid w:val="00846206"/>
    <w:rsid w:val="00850D6B"/>
    <w:rsid w:val="00851BF7"/>
    <w:rsid w:val="00852D19"/>
    <w:rsid w:val="00863D81"/>
    <w:rsid w:val="00866B7F"/>
    <w:rsid w:val="0087763E"/>
    <w:rsid w:val="0088299A"/>
    <w:rsid w:val="008933B1"/>
    <w:rsid w:val="00896C30"/>
    <w:rsid w:val="008A0FFA"/>
    <w:rsid w:val="008B122E"/>
    <w:rsid w:val="008D25DE"/>
    <w:rsid w:val="008D46A4"/>
    <w:rsid w:val="008D6B4A"/>
    <w:rsid w:val="008E29B5"/>
    <w:rsid w:val="008E4728"/>
    <w:rsid w:val="008F0309"/>
    <w:rsid w:val="009142B0"/>
    <w:rsid w:val="00934637"/>
    <w:rsid w:val="00950309"/>
    <w:rsid w:val="0095436C"/>
    <w:rsid w:val="009556CB"/>
    <w:rsid w:val="0095659F"/>
    <w:rsid w:val="009572EC"/>
    <w:rsid w:val="0096629E"/>
    <w:rsid w:val="0098031A"/>
    <w:rsid w:val="009B47D9"/>
    <w:rsid w:val="009C2BF9"/>
    <w:rsid w:val="009C53BC"/>
    <w:rsid w:val="00A15A0C"/>
    <w:rsid w:val="00A2747A"/>
    <w:rsid w:val="00A417B6"/>
    <w:rsid w:val="00A567FE"/>
    <w:rsid w:val="00A579C9"/>
    <w:rsid w:val="00A6491E"/>
    <w:rsid w:val="00A815CE"/>
    <w:rsid w:val="00A92DC3"/>
    <w:rsid w:val="00AB2428"/>
    <w:rsid w:val="00AB42C7"/>
    <w:rsid w:val="00AC5304"/>
    <w:rsid w:val="00AC57C2"/>
    <w:rsid w:val="00AC5871"/>
    <w:rsid w:val="00AC5953"/>
    <w:rsid w:val="00AC69AC"/>
    <w:rsid w:val="00AD3D0B"/>
    <w:rsid w:val="00AD4CEE"/>
    <w:rsid w:val="00B02BF0"/>
    <w:rsid w:val="00B033A9"/>
    <w:rsid w:val="00B03815"/>
    <w:rsid w:val="00B05230"/>
    <w:rsid w:val="00B14D01"/>
    <w:rsid w:val="00B4001D"/>
    <w:rsid w:val="00B452FD"/>
    <w:rsid w:val="00B46018"/>
    <w:rsid w:val="00B61398"/>
    <w:rsid w:val="00B6549B"/>
    <w:rsid w:val="00B71C5F"/>
    <w:rsid w:val="00B9395C"/>
    <w:rsid w:val="00B93EC6"/>
    <w:rsid w:val="00BD1788"/>
    <w:rsid w:val="00BD7E0D"/>
    <w:rsid w:val="00BF71DA"/>
    <w:rsid w:val="00C01F99"/>
    <w:rsid w:val="00C0411A"/>
    <w:rsid w:val="00C1213D"/>
    <w:rsid w:val="00C47420"/>
    <w:rsid w:val="00C703FF"/>
    <w:rsid w:val="00C747A3"/>
    <w:rsid w:val="00C96A4F"/>
    <w:rsid w:val="00CA3671"/>
    <w:rsid w:val="00CB0F6B"/>
    <w:rsid w:val="00CB12E6"/>
    <w:rsid w:val="00CC3CB1"/>
    <w:rsid w:val="00CE7CF2"/>
    <w:rsid w:val="00CF1D6E"/>
    <w:rsid w:val="00CF2285"/>
    <w:rsid w:val="00CF54A5"/>
    <w:rsid w:val="00D04C10"/>
    <w:rsid w:val="00D155F0"/>
    <w:rsid w:val="00D20C14"/>
    <w:rsid w:val="00D2370A"/>
    <w:rsid w:val="00D27BD2"/>
    <w:rsid w:val="00D3059C"/>
    <w:rsid w:val="00D35A05"/>
    <w:rsid w:val="00D37A2E"/>
    <w:rsid w:val="00D77D16"/>
    <w:rsid w:val="00D9163A"/>
    <w:rsid w:val="00DA26E6"/>
    <w:rsid w:val="00DE5138"/>
    <w:rsid w:val="00DE757A"/>
    <w:rsid w:val="00E01DB9"/>
    <w:rsid w:val="00E31BDA"/>
    <w:rsid w:val="00E345E9"/>
    <w:rsid w:val="00E57C14"/>
    <w:rsid w:val="00E621EB"/>
    <w:rsid w:val="00E654D3"/>
    <w:rsid w:val="00E75685"/>
    <w:rsid w:val="00E81D53"/>
    <w:rsid w:val="00E92856"/>
    <w:rsid w:val="00EA754F"/>
    <w:rsid w:val="00EB1ACA"/>
    <w:rsid w:val="00EC25ED"/>
    <w:rsid w:val="00EC2A27"/>
    <w:rsid w:val="00ED30F2"/>
    <w:rsid w:val="00ED7AD9"/>
    <w:rsid w:val="00EE0A31"/>
    <w:rsid w:val="00F05D24"/>
    <w:rsid w:val="00F47174"/>
    <w:rsid w:val="00F57450"/>
    <w:rsid w:val="00F608A6"/>
    <w:rsid w:val="00F76FBE"/>
    <w:rsid w:val="00FB26EA"/>
    <w:rsid w:val="00FD235D"/>
    <w:rsid w:val="00FD5C2E"/>
    <w:rsid w:val="00FE67B1"/>
    <w:rsid w:val="00FF50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49F1CB-F8AE-41B0-95B4-5A83442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19"/>
    <w:pPr>
      <w:jc w:val="both"/>
    </w:pPr>
    <w:rPr>
      <w:rFonts w:ascii="Soberana Sans" w:eastAsiaTheme="minorEastAsia" w:hAnsi="Soberana Sans"/>
      <w:sz w:val="24"/>
      <w:lang w:eastAsia="es-MX"/>
    </w:rPr>
  </w:style>
  <w:style w:type="paragraph" w:styleId="Ttulo1">
    <w:name w:val="heading 1"/>
    <w:basedOn w:val="Normal"/>
    <w:next w:val="Normal"/>
    <w:link w:val="Ttulo1Car"/>
    <w:uiPriority w:val="9"/>
    <w:qFormat/>
    <w:rsid w:val="008E4728"/>
    <w:pPr>
      <w:keepNext/>
      <w:keepLines/>
      <w:spacing w:before="360" w:after="240"/>
      <w:outlineLvl w:val="0"/>
    </w:pPr>
    <w:rPr>
      <w:rFonts w:ascii="Soberana Titular" w:eastAsiaTheme="majorEastAsia" w:hAnsi="Soberana Titular" w:cstheme="majorBidi"/>
      <w:b/>
      <w:bCs/>
      <w:sz w:val="28"/>
      <w:szCs w:val="28"/>
    </w:rPr>
  </w:style>
  <w:style w:type="paragraph" w:styleId="Ttulo2">
    <w:name w:val="heading 2"/>
    <w:basedOn w:val="Normal"/>
    <w:next w:val="Normal"/>
    <w:link w:val="Ttulo2Car"/>
    <w:uiPriority w:val="9"/>
    <w:unhideWhenUsed/>
    <w:qFormat/>
    <w:rsid w:val="008E4728"/>
    <w:pPr>
      <w:keepNext/>
      <w:keepLines/>
      <w:numPr>
        <w:ilvl w:val="1"/>
        <w:numId w:val="1"/>
      </w:numPr>
      <w:spacing w:before="200" w:after="120"/>
      <w:outlineLvl w:val="1"/>
    </w:pPr>
    <w:rPr>
      <w:rFonts w:ascii="Soberana Titular" w:eastAsiaTheme="majorEastAsia" w:hAnsi="Soberana Titular" w:cstheme="majorBidi"/>
      <w:b/>
      <w:bCs/>
      <w:szCs w:val="26"/>
    </w:rPr>
  </w:style>
  <w:style w:type="paragraph" w:styleId="Ttulo3">
    <w:name w:val="heading 3"/>
    <w:basedOn w:val="Ttulo2"/>
    <w:next w:val="Normal"/>
    <w:link w:val="Ttulo3Car"/>
    <w:uiPriority w:val="9"/>
    <w:unhideWhenUsed/>
    <w:qFormat/>
    <w:rsid w:val="008E4728"/>
    <w:pPr>
      <w:numPr>
        <w:ilvl w:val="2"/>
      </w:numPr>
      <w:outlineLvl w:val="2"/>
    </w:pPr>
    <w:rPr>
      <w:rFonts w:ascii="Soberana Sans Light" w:eastAsiaTheme="minorHAnsi" w:hAnsi="Soberana Sans Light" w:cstheme="minorBidi"/>
      <w:bCs w:val="0"/>
      <w:szCs w:val="24"/>
      <w:lang w:eastAsia="zh-TW"/>
    </w:rPr>
  </w:style>
  <w:style w:type="paragraph" w:styleId="Ttulo4">
    <w:name w:val="heading 4"/>
    <w:basedOn w:val="Ttulo3"/>
    <w:next w:val="Normal"/>
    <w:link w:val="Ttulo4Car"/>
    <w:uiPriority w:val="9"/>
    <w:unhideWhenUsed/>
    <w:qFormat/>
    <w:rsid w:val="00F05D24"/>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728"/>
    <w:rPr>
      <w:rFonts w:ascii="Soberana Titular" w:eastAsiaTheme="majorEastAsia" w:hAnsi="Soberana Titular" w:cstheme="majorBidi"/>
      <w:b/>
      <w:bCs/>
      <w:sz w:val="28"/>
      <w:szCs w:val="28"/>
      <w:lang w:eastAsia="es-MX"/>
    </w:rPr>
  </w:style>
  <w:style w:type="character" w:customStyle="1" w:styleId="Ttulo2Car">
    <w:name w:val="Título 2 Car"/>
    <w:basedOn w:val="Fuentedeprrafopredeter"/>
    <w:link w:val="Ttulo2"/>
    <w:uiPriority w:val="9"/>
    <w:rsid w:val="008E4728"/>
    <w:rPr>
      <w:rFonts w:ascii="Soberana Titular" w:eastAsiaTheme="majorEastAsia" w:hAnsi="Soberana Titular" w:cstheme="majorBidi"/>
      <w:b/>
      <w:bCs/>
      <w:sz w:val="24"/>
      <w:szCs w:val="26"/>
      <w:lang w:eastAsia="es-MX"/>
    </w:rPr>
  </w:style>
  <w:style w:type="character" w:customStyle="1" w:styleId="Ttulo3Car">
    <w:name w:val="Título 3 Car"/>
    <w:basedOn w:val="Fuentedeprrafopredeter"/>
    <w:link w:val="Ttulo3"/>
    <w:uiPriority w:val="9"/>
    <w:rsid w:val="008E4728"/>
    <w:rPr>
      <w:rFonts w:ascii="Soberana Sans Light" w:hAnsi="Soberana Sans Light"/>
      <w:b/>
      <w:sz w:val="24"/>
      <w:szCs w:val="24"/>
      <w:lang w:eastAsia="zh-TW"/>
    </w:rPr>
  </w:style>
  <w:style w:type="paragraph" w:styleId="Textodeglobo">
    <w:name w:val="Balloon Text"/>
    <w:basedOn w:val="Normal"/>
    <w:link w:val="TextodegloboCar"/>
    <w:uiPriority w:val="99"/>
    <w:semiHidden/>
    <w:unhideWhenUsed/>
    <w:rsid w:val="00307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0AA"/>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307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0AA"/>
    <w:rPr>
      <w:rFonts w:eastAsiaTheme="minorEastAsia"/>
      <w:lang w:eastAsia="es-MX"/>
    </w:rPr>
  </w:style>
  <w:style w:type="paragraph" w:styleId="Piedepgina">
    <w:name w:val="footer"/>
    <w:basedOn w:val="Normal"/>
    <w:link w:val="PiedepginaCar"/>
    <w:uiPriority w:val="99"/>
    <w:unhideWhenUsed/>
    <w:rsid w:val="00307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0AA"/>
    <w:rPr>
      <w:rFonts w:eastAsiaTheme="minorEastAsia"/>
      <w:lang w:eastAsia="es-MX"/>
    </w:rPr>
  </w:style>
  <w:style w:type="table" w:styleId="Tablaconcuadrcula">
    <w:name w:val="Table Grid"/>
    <w:basedOn w:val="Tablanormal"/>
    <w:uiPriority w:val="59"/>
    <w:rsid w:val="003070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70AA"/>
    <w:pPr>
      <w:ind w:left="720"/>
      <w:contextualSpacing/>
    </w:pPr>
  </w:style>
  <w:style w:type="paragraph" w:styleId="Sinespaciado">
    <w:name w:val="No Spacing"/>
    <w:link w:val="SinespaciadoCar"/>
    <w:uiPriority w:val="1"/>
    <w:qFormat/>
    <w:rsid w:val="003070A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070AA"/>
    <w:rPr>
      <w:rFonts w:eastAsiaTheme="minorEastAsia"/>
      <w:lang w:eastAsia="es-MX"/>
    </w:rPr>
  </w:style>
  <w:style w:type="table" w:styleId="Sombreadomedio2-nfasis5">
    <w:name w:val="Medium Shading 2 Accent 5"/>
    <w:basedOn w:val="Tablanormal"/>
    <w:uiPriority w:val="64"/>
    <w:rsid w:val="003070AA"/>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3070AA"/>
    <w:pPr>
      <w:spacing w:before="100" w:beforeAutospacing="1" w:after="100" w:afterAutospacing="1" w:line="240" w:lineRule="auto"/>
    </w:pPr>
    <w:rPr>
      <w:rFonts w:ascii="Times New Roman" w:eastAsia="Times New Roman" w:hAnsi="Times New Roman" w:cs="Times New Roman"/>
      <w:szCs w:val="24"/>
    </w:rPr>
  </w:style>
  <w:style w:type="paragraph" w:styleId="Textonotapie">
    <w:name w:val="footnote text"/>
    <w:basedOn w:val="Normal"/>
    <w:link w:val="TextonotapieCar"/>
    <w:uiPriority w:val="99"/>
    <w:semiHidden/>
    <w:unhideWhenUsed/>
    <w:rsid w:val="003070AA"/>
    <w:pPr>
      <w:spacing w:after="0" w:line="240" w:lineRule="auto"/>
    </w:pPr>
    <w:rPr>
      <w:rFonts w:eastAsiaTheme="minorHAnsi"/>
      <w:sz w:val="20"/>
      <w:szCs w:val="20"/>
      <w:lang w:eastAsia="zh-TW"/>
    </w:rPr>
  </w:style>
  <w:style w:type="character" w:customStyle="1" w:styleId="TextonotapieCar">
    <w:name w:val="Texto nota pie Car"/>
    <w:basedOn w:val="Fuentedeprrafopredeter"/>
    <w:link w:val="Textonotapie"/>
    <w:uiPriority w:val="99"/>
    <w:semiHidden/>
    <w:rsid w:val="003070AA"/>
    <w:rPr>
      <w:sz w:val="20"/>
      <w:szCs w:val="20"/>
      <w:lang w:eastAsia="zh-TW"/>
    </w:rPr>
  </w:style>
  <w:style w:type="character" w:styleId="Refdenotaalpie">
    <w:name w:val="footnote reference"/>
    <w:basedOn w:val="Fuentedeprrafopredeter"/>
    <w:uiPriority w:val="99"/>
    <w:semiHidden/>
    <w:unhideWhenUsed/>
    <w:rsid w:val="003070AA"/>
    <w:rPr>
      <w:vertAlign w:val="superscript"/>
    </w:rPr>
  </w:style>
  <w:style w:type="paragraph" w:customStyle="1" w:styleId="Texto">
    <w:name w:val="Texto"/>
    <w:basedOn w:val="Normal"/>
    <w:link w:val="TextoCar"/>
    <w:rsid w:val="003070AA"/>
    <w:pPr>
      <w:spacing w:after="101" w:line="216" w:lineRule="exact"/>
      <w:ind w:firstLine="288"/>
    </w:pPr>
    <w:rPr>
      <w:rFonts w:ascii="Arial" w:eastAsia="Times New Roman" w:hAnsi="Arial" w:cs="Times New Roman"/>
      <w:sz w:val="18"/>
      <w:szCs w:val="20"/>
      <w:lang w:val="es-ES" w:eastAsia="es-ES"/>
    </w:rPr>
  </w:style>
  <w:style w:type="character" w:customStyle="1" w:styleId="TextoCar">
    <w:name w:val="Texto Car"/>
    <w:link w:val="Texto"/>
    <w:locked/>
    <w:rsid w:val="003070AA"/>
    <w:rPr>
      <w:rFonts w:ascii="Arial" w:eastAsia="Times New Roman" w:hAnsi="Arial" w:cs="Times New Roman"/>
      <w:sz w:val="18"/>
      <w:szCs w:val="20"/>
      <w:lang w:val="es-ES" w:eastAsia="es-ES"/>
    </w:rPr>
  </w:style>
  <w:style w:type="paragraph" w:customStyle="1" w:styleId="ROMANOS">
    <w:name w:val="ROMANOS"/>
    <w:basedOn w:val="Normal"/>
    <w:link w:val="ROMANOSCar"/>
    <w:rsid w:val="003070AA"/>
    <w:pPr>
      <w:tabs>
        <w:tab w:val="left" w:pos="720"/>
      </w:tabs>
      <w:spacing w:after="101" w:line="216" w:lineRule="exact"/>
      <w:ind w:left="720" w:hanging="432"/>
    </w:pPr>
    <w:rPr>
      <w:rFonts w:ascii="Arial" w:eastAsia="Times New Roman" w:hAnsi="Arial" w:cs="Times New Roman"/>
      <w:sz w:val="18"/>
      <w:szCs w:val="18"/>
      <w:lang w:val="es-ES" w:eastAsia="es-ES"/>
    </w:rPr>
  </w:style>
  <w:style w:type="character" w:customStyle="1" w:styleId="ROMANOSCar">
    <w:name w:val="ROMANOS Car"/>
    <w:link w:val="ROMANOS"/>
    <w:locked/>
    <w:rsid w:val="003070AA"/>
    <w:rPr>
      <w:rFonts w:ascii="Arial" w:eastAsia="Times New Roman" w:hAnsi="Arial" w:cs="Times New Roman"/>
      <w:sz w:val="18"/>
      <w:szCs w:val="18"/>
      <w:lang w:val="es-ES" w:eastAsia="es-ES"/>
    </w:rPr>
  </w:style>
  <w:style w:type="character" w:styleId="Textodelmarcadordeposicin">
    <w:name w:val="Placeholder Text"/>
    <w:basedOn w:val="Fuentedeprrafopredeter"/>
    <w:uiPriority w:val="99"/>
    <w:semiHidden/>
    <w:rsid w:val="003070AA"/>
    <w:rPr>
      <w:color w:val="808080"/>
    </w:rPr>
  </w:style>
  <w:style w:type="character" w:styleId="Refdecomentario">
    <w:name w:val="annotation reference"/>
    <w:basedOn w:val="Fuentedeprrafopredeter"/>
    <w:uiPriority w:val="99"/>
    <w:semiHidden/>
    <w:unhideWhenUsed/>
    <w:rsid w:val="003070AA"/>
    <w:rPr>
      <w:sz w:val="16"/>
      <w:szCs w:val="16"/>
    </w:rPr>
  </w:style>
  <w:style w:type="paragraph" w:styleId="Textocomentario">
    <w:name w:val="annotation text"/>
    <w:basedOn w:val="Normal"/>
    <w:link w:val="TextocomentarioCar"/>
    <w:uiPriority w:val="99"/>
    <w:semiHidden/>
    <w:unhideWhenUsed/>
    <w:rsid w:val="003070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70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3070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070AA"/>
    <w:rPr>
      <w:b/>
      <w:bCs/>
    </w:rPr>
  </w:style>
  <w:style w:type="character" w:customStyle="1" w:styleId="AsuntodelcomentarioCar1">
    <w:name w:val="Asunto del comentario Car1"/>
    <w:basedOn w:val="TextocomentarioCar"/>
    <w:uiPriority w:val="99"/>
    <w:semiHidden/>
    <w:rsid w:val="003070AA"/>
    <w:rPr>
      <w:rFonts w:eastAsiaTheme="minorEastAsia"/>
      <w:b/>
      <w:bCs/>
      <w:sz w:val="20"/>
      <w:szCs w:val="20"/>
      <w:lang w:eastAsia="es-MX"/>
    </w:rPr>
  </w:style>
  <w:style w:type="character" w:styleId="Hipervnculo">
    <w:name w:val="Hyperlink"/>
    <w:basedOn w:val="Fuentedeprrafopredeter"/>
    <w:uiPriority w:val="99"/>
    <w:unhideWhenUsed/>
    <w:rsid w:val="003070AA"/>
    <w:rPr>
      <w:color w:val="0000FF" w:themeColor="hyperlink"/>
      <w:u w:val="single"/>
    </w:rPr>
  </w:style>
  <w:style w:type="paragraph" w:styleId="Revisin">
    <w:name w:val="Revision"/>
    <w:hidden/>
    <w:uiPriority w:val="99"/>
    <w:semiHidden/>
    <w:rsid w:val="003070AA"/>
    <w:pPr>
      <w:spacing w:after="0" w:line="240" w:lineRule="auto"/>
    </w:pPr>
    <w:rPr>
      <w:rFonts w:eastAsiaTheme="minorEastAsia"/>
      <w:lang w:eastAsia="es-MX"/>
    </w:rPr>
  </w:style>
  <w:style w:type="paragraph" w:customStyle="1" w:styleId="NotaalPie">
    <w:name w:val="Nota al Pie"/>
    <w:basedOn w:val="Textonotapie"/>
    <w:link w:val="NotaalPieCar"/>
    <w:qFormat/>
    <w:rsid w:val="0088299A"/>
    <w:pPr>
      <w:ind w:left="142" w:hanging="142"/>
    </w:pPr>
    <w:rPr>
      <w:sz w:val="18"/>
    </w:rPr>
  </w:style>
  <w:style w:type="character" w:customStyle="1" w:styleId="NotaalPieCar">
    <w:name w:val="Nota al Pie Car"/>
    <w:basedOn w:val="TextonotapieCar"/>
    <w:link w:val="NotaalPie"/>
    <w:rsid w:val="0088299A"/>
    <w:rPr>
      <w:rFonts w:ascii="Soberana Sans" w:hAnsi="Soberana Sans"/>
      <w:sz w:val="18"/>
      <w:szCs w:val="20"/>
      <w:lang w:eastAsia="zh-TW"/>
    </w:rPr>
  </w:style>
  <w:style w:type="paragraph" w:styleId="TtulodeTDC">
    <w:name w:val="TOC Heading"/>
    <w:basedOn w:val="Ttulo1"/>
    <w:next w:val="Normal"/>
    <w:uiPriority w:val="39"/>
    <w:semiHidden/>
    <w:unhideWhenUsed/>
    <w:qFormat/>
    <w:rsid w:val="003070AA"/>
    <w:pPr>
      <w:spacing w:before="480" w:after="0"/>
      <w:outlineLvl w:val="9"/>
    </w:pPr>
    <w:rPr>
      <w:rFonts w:asciiTheme="majorHAnsi" w:hAnsiTheme="majorHAnsi"/>
      <w:color w:val="365F91" w:themeColor="accent1" w:themeShade="BF"/>
    </w:rPr>
  </w:style>
  <w:style w:type="paragraph" w:styleId="TDC1">
    <w:name w:val="toc 1"/>
    <w:basedOn w:val="Normal"/>
    <w:next w:val="Normal"/>
    <w:autoRedefine/>
    <w:uiPriority w:val="39"/>
    <w:unhideWhenUsed/>
    <w:rsid w:val="006C30AD"/>
    <w:pPr>
      <w:spacing w:after="100"/>
    </w:pPr>
  </w:style>
  <w:style w:type="paragraph" w:styleId="TDC2">
    <w:name w:val="toc 2"/>
    <w:basedOn w:val="Normal"/>
    <w:next w:val="Normal"/>
    <w:autoRedefine/>
    <w:uiPriority w:val="39"/>
    <w:unhideWhenUsed/>
    <w:rsid w:val="003070AA"/>
    <w:pPr>
      <w:spacing w:after="100"/>
      <w:ind w:left="220"/>
    </w:pPr>
  </w:style>
  <w:style w:type="paragraph" w:styleId="TDC3">
    <w:name w:val="toc 3"/>
    <w:basedOn w:val="Normal"/>
    <w:next w:val="Normal"/>
    <w:autoRedefine/>
    <w:uiPriority w:val="39"/>
    <w:unhideWhenUsed/>
    <w:rsid w:val="003070AA"/>
    <w:pPr>
      <w:spacing w:after="100"/>
      <w:ind w:left="440"/>
    </w:pPr>
  </w:style>
  <w:style w:type="paragraph" w:styleId="Subttulo">
    <w:name w:val="Subtitle"/>
    <w:basedOn w:val="Normal"/>
    <w:next w:val="Normal"/>
    <w:link w:val="SubttuloCar"/>
    <w:uiPriority w:val="11"/>
    <w:qFormat/>
    <w:rsid w:val="008E4728"/>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8E4728"/>
    <w:rPr>
      <w:rFonts w:asciiTheme="majorHAnsi" w:eastAsiaTheme="majorEastAsia" w:hAnsiTheme="majorHAnsi" w:cstheme="majorBidi"/>
      <w:i/>
      <w:iCs/>
      <w:color w:val="4F81BD" w:themeColor="accent1"/>
      <w:spacing w:val="15"/>
      <w:sz w:val="24"/>
      <w:szCs w:val="24"/>
      <w:lang w:eastAsia="es-MX"/>
    </w:rPr>
  </w:style>
  <w:style w:type="character" w:customStyle="1" w:styleId="Ttulo4Car">
    <w:name w:val="Título 4 Car"/>
    <w:basedOn w:val="Fuentedeprrafopredeter"/>
    <w:link w:val="Ttulo4"/>
    <w:uiPriority w:val="9"/>
    <w:rsid w:val="00F05D24"/>
    <w:rPr>
      <w:rFonts w:ascii="Soberana Sans Light" w:hAnsi="Soberana Sans Light"/>
      <w:b/>
      <w:sz w:val="24"/>
      <w:szCs w:val="24"/>
      <w:lang w:eastAsia="zh-TW"/>
    </w:rPr>
  </w:style>
  <w:style w:type="paragraph" w:customStyle="1" w:styleId="Mtodosdeclculo">
    <w:name w:val="Métodos de cálculo"/>
    <w:basedOn w:val="Normal"/>
    <w:link w:val="MtodosdeclculoCar"/>
    <w:qFormat/>
    <w:rsid w:val="00063E75"/>
    <w:pPr>
      <w:autoSpaceDE w:val="0"/>
      <w:autoSpaceDN w:val="0"/>
      <w:adjustRightInd w:val="0"/>
      <w:spacing w:after="0" w:line="240" w:lineRule="auto"/>
    </w:pPr>
    <w:rPr>
      <w:rFonts w:ascii="Soberana Sans Light" w:hAnsi="Soberana Sans Light"/>
      <w:sz w:val="22"/>
    </w:rPr>
  </w:style>
  <w:style w:type="paragraph" w:customStyle="1" w:styleId="Normala">
    <w:name w:val="Normal a"/>
    <w:basedOn w:val="Normal"/>
    <w:link w:val="NormalaCar"/>
    <w:qFormat/>
    <w:rsid w:val="00AB2428"/>
    <w:rPr>
      <w:rFonts w:ascii="Soberana Sans Light" w:hAnsi="Soberana Sans Light"/>
    </w:rPr>
  </w:style>
  <w:style w:type="character" w:customStyle="1" w:styleId="MtodosdeclculoCar">
    <w:name w:val="Métodos de cálculo Car"/>
    <w:basedOn w:val="Fuentedeprrafopredeter"/>
    <w:link w:val="Mtodosdeclculo"/>
    <w:rsid w:val="00063E75"/>
    <w:rPr>
      <w:rFonts w:ascii="Soberana Sans Light" w:eastAsiaTheme="minorEastAsia" w:hAnsi="Soberana Sans Light"/>
      <w:lang w:eastAsia="es-MX"/>
    </w:rPr>
  </w:style>
  <w:style w:type="character" w:customStyle="1" w:styleId="NormalaCar">
    <w:name w:val="Normal a Car"/>
    <w:basedOn w:val="Fuentedeprrafopredeter"/>
    <w:link w:val="Normala"/>
    <w:rsid w:val="00AB2428"/>
    <w:rPr>
      <w:rFonts w:ascii="Soberana Sans Light" w:eastAsiaTheme="minorEastAsia" w:hAnsi="Soberana Sans Light"/>
      <w:sz w:val="24"/>
      <w:lang w:eastAsia="es-MX"/>
    </w:rPr>
  </w:style>
  <w:style w:type="character" w:styleId="nfasissutil">
    <w:name w:val="Subtle Emphasis"/>
    <w:uiPriority w:val="19"/>
    <w:qFormat/>
    <w:rsid w:val="00A92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590">
      <w:bodyDiv w:val="1"/>
      <w:marLeft w:val="0"/>
      <w:marRight w:val="0"/>
      <w:marTop w:val="0"/>
      <w:marBottom w:val="0"/>
      <w:divBdr>
        <w:top w:val="none" w:sz="0" w:space="0" w:color="auto"/>
        <w:left w:val="none" w:sz="0" w:space="0" w:color="auto"/>
        <w:bottom w:val="none" w:sz="0" w:space="0" w:color="auto"/>
        <w:right w:val="none" w:sz="0" w:space="0" w:color="auto"/>
      </w:divBdr>
    </w:div>
    <w:div w:id="1014765080">
      <w:bodyDiv w:val="1"/>
      <w:marLeft w:val="0"/>
      <w:marRight w:val="0"/>
      <w:marTop w:val="0"/>
      <w:marBottom w:val="0"/>
      <w:divBdr>
        <w:top w:val="none" w:sz="0" w:space="0" w:color="auto"/>
        <w:left w:val="none" w:sz="0" w:space="0" w:color="auto"/>
        <w:bottom w:val="none" w:sz="0" w:space="0" w:color="auto"/>
        <w:right w:val="none" w:sz="0" w:space="0" w:color="auto"/>
      </w:divBdr>
    </w:div>
    <w:div w:id="1400441742">
      <w:bodyDiv w:val="1"/>
      <w:marLeft w:val="0"/>
      <w:marRight w:val="0"/>
      <w:marTop w:val="0"/>
      <w:marBottom w:val="0"/>
      <w:divBdr>
        <w:top w:val="none" w:sz="0" w:space="0" w:color="auto"/>
        <w:left w:val="none" w:sz="0" w:space="0" w:color="auto"/>
        <w:bottom w:val="none" w:sz="0" w:space="0" w:color="auto"/>
        <w:right w:val="none" w:sz="0" w:space="0" w:color="auto"/>
      </w:divBdr>
    </w:div>
    <w:div w:id="18788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D061-CE86-4E65-A7FF-FC76CB10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 Aguilar Pineda</dc:creator>
  <cp:lastModifiedBy>Oswaldo Gomez Cruz</cp:lastModifiedBy>
  <cp:revision>5</cp:revision>
  <cp:lastPrinted>2014-09-09T19:55:00Z</cp:lastPrinted>
  <dcterms:created xsi:type="dcterms:W3CDTF">2017-12-04T20:52:00Z</dcterms:created>
  <dcterms:modified xsi:type="dcterms:W3CDTF">2017-12-04T21:12:00Z</dcterms:modified>
</cp:coreProperties>
</file>